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B9B4A">
      <w:pPr>
        <w:spacing w:line="580" w:lineRule="exact"/>
        <w:jc w:val="center"/>
        <w:rPr>
          <w:rFonts w:ascii="方正小标宋简体" w:hAnsi="方正小标宋简体" w:eastAsia="方正小标宋简体" w:cs="方正小标宋简体"/>
          <w:sz w:val="44"/>
          <w:szCs w:val="44"/>
        </w:rPr>
      </w:pPr>
      <w:bookmarkStart w:id="6" w:name="_GoBack"/>
      <w:r>
        <w:rPr>
          <w:rFonts w:hint="eastAsia" w:ascii="方正小标宋简体" w:hAnsi="方正小标宋简体" w:eastAsia="方正小标宋简体" w:cs="方正小标宋简体"/>
          <w:sz w:val="44"/>
          <w:szCs w:val="44"/>
        </w:rPr>
        <w:t>2025年度</w:t>
      </w:r>
      <w:r>
        <w:rPr>
          <w:rFonts w:ascii="方正小标宋简体" w:hAnsi="方正小标宋简体" w:eastAsia="方正小标宋简体" w:cs="方正小标宋简体"/>
          <w:sz w:val="44"/>
          <w:szCs w:val="44"/>
        </w:rPr>
        <w:t>工作总结</w:t>
      </w:r>
    </w:p>
    <w:bookmarkEnd w:id="6"/>
    <w:p w14:paraId="44C051F1">
      <w:pPr>
        <w:tabs>
          <w:tab w:val="left" w:pos="750"/>
        </w:tabs>
        <w:spacing w:line="580" w:lineRule="exact"/>
        <w:ind w:firstLine="640" w:firstLineChars="200"/>
        <w:rPr>
          <w:rFonts w:ascii="Times New Roman" w:hAnsi="Times New Roman" w:eastAsia="仿宋_GB2312" w:cs="Times New Roman"/>
          <w:sz w:val="32"/>
          <w:szCs w:val="32"/>
        </w:rPr>
      </w:pPr>
    </w:p>
    <w:p w14:paraId="72E94480">
      <w:pPr>
        <w:spacing w:line="580" w:lineRule="exact"/>
        <w:ind w:firstLine="620"/>
        <w:rPr>
          <w:rFonts w:ascii="方正仿宋简体" w:hAnsi="华文楷体" w:eastAsia="方正仿宋简体"/>
          <w:sz w:val="32"/>
          <w:szCs w:val="32"/>
        </w:rPr>
      </w:pPr>
      <w:r>
        <w:rPr>
          <w:rFonts w:hint="eastAsia" w:ascii="方正仿宋简体" w:hAnsi="华文楷体" w:eastAsia="方正仿宋简体"/>
          <w:sz w:val="32"/>
          <w:szCs w:val="32"/>
        </w:rPr>
        <w:t>时光荏苒，2025年的画卷已徐徐收卷。这一年，我们在市委、市政府的坚强领导下，始终心怀“国之大者”、情系“民之关切”，以思想之光引领前行之路，以实干之笔书写移民新篇，在全面推进乡村振兴、扎实推动移民共同富裕的征程中，迈出了坚实步伐、留下了奋斗足迹。回望来路，我们收获满满；展望前程，我们信心满怀。现将一年来的工作情况汇报如下。</w:t>
      </w:r>
    </w:p>
    <w:p w14:paraId="25CE837D">
      <w:pPr>
        <w:spacing w:line="580" w:lineRule="exact"/>
        <w:ind w:left="640" w:leftChars="305" w:firstLine="160" w:firstLineChars="50"/>
        <w:rPr>
          <w:rFonts w:ascii="黑体" w:hAnsi="黑体" w:eastAsia="黑体" w:cs="黑体"/>
          <w:sz w:val="32"/>
          <w:szCs w:val="32"/>
        </w:rPr>
      </w:pPr>
      <w:r>
        <w:rPr>
          <w:rFonts w:hint="eastAsia" w:ascii="黑体" w:hAnsi="黑体" w:eastAsia="黑体" w:cs="黑体"/>
          <w:sz w:val="32"/>
          <w:szCs w:val="32"/>
        </w:rPr>
        <w:t>一、思想引领篇：铸牢初心，凝聚奋进之力</w:t>
      </w:r>
    </w:p>
    <w:p w14:paraId="7B52F66B">
      <w:pPr>
        <w:spacing w:line="580" w:lineRule="exact"/>
        <w:ind w:firstLine="620"/>
        <w:rPr>
          <w:rFonts w:ascii="方正仿宋简体" w:hAnsi="Times New Roman" w:eastAsia="方正仿宋简体" w:cs="Times New Roman"/>
          <w:sz w:val="32"/>
          <w:szCs w:val="32"/>
        </w:rPr>
      </w:pPr>
      <w:r>
        <w:rPr>
          <w:rFonts w:hint="eastAsia" w:ascii="楷体" w:hAnsi="楷体" w:eastAsia="楷体" w:cs="楷体"/>
          <w:bCs/>
          <w:color w:val="000000"/>
          <w:sz w:val="32"/>
          <w:szCs w:val="32"/>
        </w:rPr>
        <w:t>（一）我们抓牢政治“导航仪”，让组织生活“活”起来，把党建品牌“亮”在服务移民的最前沿</w:t>
      </w:r>
      <w:r>
        <w:rPr>
          <w:rFonts w:hint="eastAsia" w:ascii="楷体" w:hAnsi="楷体" w:eastAsia="楷体" w:cs="楷体"/>
          <w:bCs/>
          <w:kern w:val="0"/>
          <w:sz w:val="32"/>
          <w:szCs w:val="32"/>
        </w:rPr>
        <w:t>。</w:t>
      </w:r>
      <w:r>
        <w:rPr>
          <w:rFonts w:hint="eastAsia" w:ascii="方正仿宋简体" w:hAnsi="华文楷体" w:eastAsia="方正仿宋简体"/>
          <w:sz w:val="32"/>
          <w:szCs w:val="32"/>
        </w:rPr>
        <w:t>一是中心领导班子始终坚持把党的政治建设摆在首位，严明政治纪律和政治规矩，深刻领悟“两个确立”的决定性意义，增强“四个意识”、坚定“四个自信”、做到“两个维护”，自觉在思想上政治上行动上同党中央保持高度一致，坚决有力地贯彻执行党的路线方针政策和上级各项决策部署。二是严格执行民主集中制，以党章党规为根本遵循，凡属重大决策、重要事项、重点项目安排等均经过集体充分讨论、广泛征求意见，确保科学决策、民主决策、依法决策。三是高标准落实党内组织生活制度，高质量召开专题民主生活会和组织生活会，扎实规范开展“三会一课”、“一月一课一片一实践”、主题党日、党员积分管理、发展党员、在职党员进社区、走访慰问生活困难党员等工作，不断提升组织生活质效。四是深化“移民产业助力乡村振兴”党建品牌建设，坚持“围绕中心抓党建、抓好党建促业务”总体思路，推动党建工作与移民事务主责主业深度融合、同频共振。</w:t>
      </w:r>
    </w:p>
    <w:p w14:paraId="6E19D4B4">
      <w:pPr>
        <w:spacing w:line="580" w:lineRule="exact"/>
        <w:ind w:firstLine="620"/>
        <w:rPr>
          <w:rFonts w:hint="eastAsia" w:ascii="方正仿宋简体" w:hAnsi="方正仿宋_GB2312" w:eastAsia="方正仿宋简体" w:cs="方正仿宋_GB2312"/>
          <w:kern w:val="0"/>
          <w:sz w:val="32"/>
          <w:szCs w:val="32"/>
        </w:rPr>
      </w:pPr>
      <w:r>
        <w:rPr>
          <w:rFonts w:hint="eastAsia" w:ascii="楷体" w:hAnsi="楷体" w:eastAsia="楷体" w:cs="楷体"/>
          <w:bCs/>
          <w:color w:val="000000"/>
          <w:sz w:val="32"/>
          <w:szCs w:val="32"/>
        </w:rPr>
        <w:t>（二）我们把纪律规矩刻在心里，将廉政监督抓在手上，用党的创新理论滋养初心，守护好移民的“钱袋子”和“信任感”。</w:t>
      </w:r>
      <w:r>
        <w:rPr>
          <w:rFonts w:hint="eastAsia" w:ascii="方正仿宋简体" w:hAnsi="楷体_GB2312" w:eastAsia="方正仿宋简体" w:cs="楷体_GB2312"/>
          <w:color w:val="000000"/>
          <w:sz w:val="32"/>
          <w:szCs w:val="32"/>
        </w:rPr>
        <w:t>一是坚决扛起全面从严治党主体责任，党组书记认真履行第一责任人职责，班子成员严格落实“一岗双责”，形成齐抓共管的工作格局。将中央八项规定精神作为铁规矩、硬标尺，纳入常态化学习教育重要内容，通过专题学习、案例警示等形式，持续强化纪律规矩意识。</w:t>
      </w:r>
      <w:r>
        <w:rPr>
          <w:rFonts w:hint="eastAsia" w:ascii="方正仿宋简体" w:hAnsi="楷体_GB2312" w:eastAsia="方正仿宋简体" w:cs="楷体_GB2312"/>
          <w:sz w:val="32"/>
          <w:szCs w:val="32"/>
        </w:rPr>
        <w:t>二是聚焦重点领域和关键环节，组织开展移民后期扶持资金项目专项检查与“回头看”，对发现问题建立台账、限期整改、跟踪问效，确保移民资金安全规范高效使用。三是紧扣主题教育常态化长效化要求，充分发挥“关键少数”示范作用和</w:t>
      </w:r>
      <w:r>
        <w:rPr>
          <w:rFonts w:hint="eastAsia" w:ascii="方正仿宋简体" w:hAnsi="楷体_GB2312" w:eastAsia="方正仿宋简体" w:cs="楷体_GB2312"/>
          <w:color w:val="000000"/>
          <w:sz w:val="32"/>
          <w:szCs w:val="32"/>
        </w:rPr>
        <w:t>支部战斗堡垒作用，主要负责人带头谋划部署、督导落实，持续深入学习贯彻习近平新时代中国特色社会主义思想、党的二十大精神及二十届历次全会精神，用党的创新理论武装头脑、指导实践、推动工作。</w:t>
      </w:r>
    </w:p>
    <w:p w14:paraId="433EFC84">
      <w:pPr>
        <w:spacing w:line="580" w:lineRule="exact"/>
        <w:ind w:firstLine="620"/>
        <w:rPr>
          <w:rFonts w:ascii="方正仿宋简体" w:hAnsi="Times New Roman" w:eastAsia="方正仿宋简体" w:cs="Times New Roman"/>
          <w:sz w:val="32"/>
          <w:szCs w:val="32"/>
        </w:rPr>
      </w:pPr>
      <w:r>
        <w:rPr>
          <w:rFonts w:hint="eastAsia" w:ascii="楷体" w:hAnsi="楷体" w:eastAsia="楷体" w:cs="楷体"/>
          <w:bCs/>
          <w:color w:val="000000"/>
          <w:sz w:val="32"/>
          <w:szCs w:val="32"/>
        </w:rPr>
        <w:t>（三）我们坚持学思用贯通，让党的创新理论内化于心、外化于行，转化为服务移民的自觉行动。</w:t>
      </w:r>
      <w:r>
        <w:rPr>
          <w:rFonts w:hint="eastAsia" w:ascii="方正仿宋简体" w:hAnsi="楷体_GB2312" w:eastAsia="方正仿宋简体" w:cs="楷体_GB2312"/>
          <w:color w:val="000000"/>
          <w:sz w:val="32"/>
          <w:szCs w:val="32"/>
        </w:rPr>
        <w:t>一是严格落实意识形态工作责任制，领导班子定期学习研究上级关于意识形态工作的决策部署，结合移民工作实际，分析研判形势，明确工作重点，狠抓任务落实。二是抓实党组理论学习中心组学习，科学制定并严格执行年度学习计划，丰富学习形式，将个人自学、集中研讨、实地调研有机结合，今年以来已开展中心组学习12次，学习效果不断显现。三是强化正面宣传和舆论引导，聚焦移民后扶、项目建设、产业增收等重点工作，在《湖南日报》《益阳日报》刊发《益阳筑牢防汛“安全堤”》《沅江腐乳一年卖出六千万元》《移民镇里施工忙》</w:t>
      </w:r>
      <w:r>
        <w:rPr>
          <w:rFonts w:hint="eastAsia" w:ascii="方正仿宋简体" w:hAnsi="仿宋" w:eastAsia="方正仿宋简体" w:cs="Times New Roman"/>
          <w:sz w:val="32"/>
          <w:szCs w:val="32"/>
        </w:rPr>
        <w:t>《再造锦绣家园—沅江大中型水库移民变迁发展纪实》</w:t>
      </w:r>
      <w:r>
        <w:rPr>
          <w:rFonts w:hint="eastAsia" w:ascii="方正仿宋简体" w:hAnsi="楷体_GB2312" w:eastAsia="方正仿宋简体" w:cs="楷体_GB2312"/>
          <w:color w:val="000000"/>
          <w:sz w:val="32"/>
          <w:szCs w:val="32"/>
        </w:rPr>
        <w:t>稿件4篇，在湖南经视新闻报道《沅江市：解决水库移民“急难愁盼”完善水利设施建设》，系统展现移民工作成效。精心策划制作《共建移民新家园 共享幸福新生活—沅江市移民中心高质量发展工作巡礼》专题宣传片，时长8分钟，通过实景拍摄、移民访谈等形式，生动呈现60年来移民安置区基础设施改善、产业发展成果及移民生活变化。</w:t>
      </w:r>
    </w:p>
    <w:p w14:paraId="32DEEAAF">
      <w:pPr>
        <w:spacing w:line="580" w:lineRule="exact"/>
        <w:ind w:firstLine="640" w:firstLineChars="200"/>
        <w:rPr>
          <w:rFonts w:ascii="仿宋_GB2312" w:hAnsi="方正仿宋简体" w:eastAsia="仿宋_GB2312" w:cs="方正仿宋简体"/>
          <w:bCs/>
          <w:sz w:val="32"/>
          <w:szCs w:val="32"/>
        </w:rPr>
      </w:pPr>
      <w:r>
        <w:rPr>
          <w:rFonts w:hint="eastAsia" w:ascii="楷体" w:hAnsi="楷体" w:eastAsia="楷体" w:cs="楷体"/>
          <w:bCs/>
          <w:color w:val="000000"/>
          <w:sz w:val="32"/>
          <w:szCs w:val="32"/>
        </w:rPr>
        <w:t>（四）我们常敲廉洁“警示钟”，织密制度“防护网”，让清廉之风护航每一分移民资金，温暖每一个移民家庭。</w:t>
      </w:r>
      <w:r>
        <w:rPr>
          <w:rFonts w:hint="eastAsia" w:ascii="方正仿宋简体" w:hAnsi="Times New Roman" w:eastAsia="方正仿宋简体" w:cs="Times New Roman"/>
          <w:color w:val="000000"/>
          <w:sz w:val="32"/>
          <w:szCs w:val="32"/>
        </w:rPr>
        <w:t>一是持续深化党风廉政建设责任制，完善责任分解、检查考核、追责问责机制。调整充实党风廉政建设工作领导小组，坚持“一把手”负总责、班子成员各负其责，加强对分管领域廉政风险的日常监督与防控，党员干部廉洁自律意识进一步筑牢。二是定期召开党组会议专题研究部署党风廉政建设工作，对廉政教育、作风整治、监督检查等重要事项进行审议安排，推动各项任务落到实处。三是常态化开展廉政谈话提醒，在重要节假日前、重大会议活动期间必讲廉洁纪律，做到抓早抓小、防微杜渐。四是深入开展作风纪律整治，紧盯“四风”隐形变异问题，特别是移民资金发放、项目建设管理等重点领域的廉政风险点，加大监督检查力度。五是严格执行中央八项规定及其实施细则精神，健全内控机制，修订完善《沅江市库区移民事务中心内部控制管理制度》，加强“三公”经费和“三金”规范管理，着力建设清廉机关</w:t>
      </w:r>
      <w:r>
        <w:rPr>
          <w:rFonts w:hint="eastAsia" w:ascii="仿宋_GB2312" w:hAnsi="方正仿宋简体" w:eastAsia="仿宋_GB2312" w:cs="方正仿宋简体"/>
          <w:bCs/>
          <w:sz w:val="32"/>
          <w:szCs w:val="32"/>
        </w:rPr>
        <w:t>。</w:t>
      </w:r>
    </w:p>
    <w:p w14:paraId="436211AD">
      <w:pPr>
        <w:spacing w:line="580" w:lineRule="exact"/>
        <w:ind w:firstLine="645"/>
        <w:rPr>
          <w:rFonts w:ascii="黑体" w:hAnsi="黑体" w:eastAsia="黑体" w:cs="黑体"/>
          <w:sz w:val="32"/>
          <w:szCs w:val="32"/>
        </w:rPr>
      </w:pPr>
      <w:r>
        <w:rPr>
          <w:rFonts w:hint="eastAsia" w:ascii="黑体" w:hAnsi="黑体" w:eastAsia="黑体" w:cs="黑体"/>
          <w:sz w:val="32"/>
          <w:szCs w:val="32"/>
        </w:rPr>
        <w:t>二、实干行动篇：躬耕一线，书写移民新篇</w:t>
      </w:r>
    </w:p>
    <w:p w14:paraId="2A5576A0">
      <w:pPr>
        <w:spacing w:line="580" w:lineRule="exact"/>
        <w:ind w:firstLine="320" w:firstLineChars="100"/>
        <w:rPr>
          <w:rFonts w:ascii="方正仿宋简体" w:hAnsi="仿宋" w:eastAsia="方正仿宋简体" w:cs="Times New Roman"/>
          <w:sz w:val="32"/>
          <w:szCs w:val="32"/>
        </w:rPr>
      </w:pPr>
      <w:r>
        <w:rPr>
          <w:rFonts w:hint="eastAsia" w:ascii="华文楷体" w:hAnsi="华文楷体" w:eastAsia="华文楷体" w:cs="华文楷体"/>
          <w:sz w:val="32"/>
          <w:szCs w:val="32"/>
        </w:rPr>
        <w:t>（一）这一年，我们以“精管善建”筑牢水安根基，打造乡村振兴示范样板。</w:t>
      </w:r>
      <w:r>
        <w:rPr>
          <w:rFonts w:hint="eastAsia" w:ascii="方正仿宋简体" w:hAnsi="仿宋" w:eastAsia="方正仿宋简体" w:cs="Times New Roman"/>
          <w:sz w:val="32"/>
          <w:szCs w:val="32"/>
        </w:rPr>
        <w:t>四季红镇防汛抗旱建设项目争取中央后扶资金5500万元，于2024年12月份启动建设，2025年9月中旬全面完工。项目以“五精”管理模式实现高质量建设（精准规划、精细监管、精心设计、精诚协作、精严验收），有效解决了该镇“涝能灌、旱能排、汛能防”水安全问题，工程合格率100%、优良率92%。项目覆盖1.6万亩农田，彻底解决稻虾产业用水难题，带动特色种养业规模化发展；创造260个就业岗位，实现移民“家门口增收”，土地流转价值提升30%。群众居住环境安全度提升85%，吸引返乡创业青年120人，年平均防洪效益616万元，灌溉增产增收332万元，乡村凝聚力显著增强。水利设施与文旅深度融合，打造龙船雕塑、移民文化桥廊等景观节点，形成“水清、岸绿、景美”生态廊道。项目获水利部评估组、省水利厅高度肯定，要求作为典型推介，为乡村振兴提供可复制的“四季红经验”，实现“政策赋能、项目带动、民生改善、产业富民”目标。</w:t>
      </w:r>
    </w:p>
    <w:p w14:paraId="5F8283F0">
      <w:pPr>
        <w:spacing w:line="580" w:lineRule="exact"/>
        <w:ind w:firstLine="320" w:firstLineChars="100"/>
        <w:rPr>
          <w:rFonts w:ascii="方正仿宋简体" w:hAnsi="仿宋" w:eastAsia="方正仿宋简体" w:cs="Times New Roman"/>
          <w:sz w:val="32"/>
          <w:szCs w:val="32"/>
        </w:rPr>
      </w:pPr>
      <w:r>
        <w:rPr>
          <w:rFonts w:hint="eastAsia" w:ascii="华文楷体" w:hAnsi="华文楷体" w:eastAsia="华文楷体" w:cs="华文楷体"/>
          <w:sz w:val="32"/>
          <w:szCs w:val="32"/>
        </w:rPr>
        <w:t>（二）这一年，我们以“机制创新”激活内生动力，拓宽移民增收就业渠道。</w:t>
      </w:r>
      <w:r>
        <w:rPr>
          <w:rFonts w:hint="eastAsia" w:ascii="方正仿宋简体" w:hAnsi="仿宋" w:eastAsia="方正仿宋简体" w:cs="Times New Roman"/>
          <w:sz w:val="32"/>
          <w:szCs w:val="32"/>
        </w:rPr>
        <w:t>聚焦重点移民村村集体经济增收</w:t>
      </w:r>
      <w:r>
        <w:rPr>
          <w:rFonts w:hint="eastAsia" w:ascii="方正仿宋简体" w:hAnsi="仿宋" w:eastAsia="方正仿宋简体" w:cs="Times New Roman"/>
          <w:sz w:val="32"/>
          <w:szCs w:val="32"/>
          <w:lang w:eastAsia="zh-CN"/>
        </w:rPr>
        <w:t>和移民就业</w:t>
      </w:r>
      <w:r>
        <w:rPr>
          <w:rFonts w:hint="eastAsia" w:ascii="方正仿宋简体" w:hAnsi="仿宋" w:eastAsia="方正仿宋简体" w:cs="Times New Roman"/>
          <w:sz w:val="32"/>
          <w:szCs w:val="32"/>
        </w:rPr>
        <w:t>，我们一方面深入一线调研，</w:t>
      </w:r>
      <w:r>
        <w:rPr>
          <w:rFonts w:hint="eastAsia" w:ascii="方正仿宋简体" w:hAnsi="仿宋" w:eastAsia="方正仿宋简体" w:cs="Times New Roman"/>
          <w:sz w:val="32"/>
          <w:szCs w:val="32"/>
          <w:lang w:eastAsia="zh-CN"/>
        </w:rPr>
        <w:t>摸清</w:t>
      </w:r>
      <w:r>
        <w:rPr>
          <w:rFonts w:hint="eastAsia" w:ascii="方正仿宋简体" w:hAnsi="仿宋" w:eastAsia="方正仿宋简体" w:cs="Times New Roman"/>
          <w:sz w:val="32"/>
          <w:szCs w:val="32"/>
        </w:rPr>
        <w:t>镇村资源禀赋、挖掘增收就业渠道。另一方面积极向省级移民主管部门争取政策支持，发挥移民资金杠杆效应，实现了“村级入股+企业管理+固定分红+就业帮扶+本金回轮”运转模式。如杨梅山村入股电子厂100万元（年分红10万元，解决就业100余人）</w:t>
      </w:r>
      <w:r>
        <w:rPr>
          <w:rFonts w:hint="eastAsia" w:ascii="方正仿宋简体" w:hAnsi="仿宋" w:eastAsia="方正仿宋简体" w:cs="Times New Roman"/>
          <w:sz w:val="32"/>
          <w:szCs w:val="32"/>
          <w:lang w:eastAsia="zh-CN"/>
        </w:rPr>
        <w:t>、</w:t>
      </w:r>
      <w:r>
        <w:rPr>
          <w:rFonts w:hint="eastAsia" w:ascii="方正仿宋简体" w:hAnsi="仿宋" w:eastAsia="方正仿宋简体" w:cs="Times New Roman"/>
          <w:sz w:val="32"/>
          <w:szCs w:val="32"/>
        </w:rPr>
        <w:t>三眼塘村入股飞鸟乐园100万元（年分红10万元、解决就业20</w:t>
      </w:r>
      <w:r>
        <w:rPr>
          <w:rFonts w:hint="eastAsia" w:ascii="方正仿宋简体" w:hAnsi="仿宋" w:eastAsia="方正仿宋简体" w:cs="Times New Roman"/>
          <w:sz w:val="32"/>
          <w:szCs w:val="32"/>
          <w:lang w:eastAsia="zh-CN"/>
        </w:rPr>
        <w:t>余</w:t>
      </w:r>
      <w:r>
        <w:rPr>
          <w:rFonts w:hint="eastAsia" w:ascii="方正仿宋简体" w:hAnsi="仿宋" w:eastAsia="方正仿宋简体" w:cs="Times New Roman"/>
          <w:sz w:val="32"/>
          <w:szCs w:val="32"/>
        </w:rPr>
        <w:t>人）、胭脂湖村入股泽兴食品100万元（年分红12万元、解决就业10</w:t>
      </w:r>
      <w:r>
        <w:rPr>
          <w:rFonts w:hint="eastAsia" w:ascii="方正仿宋简体" w:hAnsi="仿宋" w:eastAsia="方正仿宋简体" w:cs="Times New Roman"/>
          <w:sz w:val="32"/>
          <w:szCs w:val="32"/>
          <w:lang w:eastAsia="zh-CN"/>
        </w:rPr>
        <w:t>余</w:t>
      </w:r>
      <w:r>
        <w:rPr>
          <w:rFonts w:hint="eastAsia" w:ascii="方正仿宋简体" w:hAnsi="仿宋" w:eastAsia="方正仿宋简体" w:cs="Times New Roman"/>
          <w:sz w:val="32"/>
          <w:szCs w:val="32"/>
        </w:rPr>
        <w:t>人）等等。近</w:t>
      </w:r>
      <w:r>
        <w:rPr>
          <w:rFonts w:hint="eastAsia" w:ascii="方正仿宋简体" w:hAnsi="仿宋" w:eastAsia="方正仿宋简体" w:cs="Times New Roman"/>
          <w:sz w:val="32"/>
          <w:szCs w:val="32"/>
          <w:lang w:eastAsia="zh-CN"/>
        </w:rPr>
        <w:t>两</w:t>
      </w:r>
      <w:r>
        <w:rPr>
          <w:rFonts w:hint="eastAsia" w:ascii="方正仿宋简体" w:hAnsi="仿宋" w:eastAsia="方正仿宋简体" w:cs="Times New Roman"/>
          <w:sz w:val="32"/>
          <w:szCs w:val="32"/>
        </w:rPr>
        <w:t>年共有14个村以移民资金入股产业，</w:t>
      </w:r>
      <w:r>
        <w:rPr>
          <w:rFonts w:hint="eastAsia" w:ascii="方正仿宋简体" w:hAnsi="仿宋" w:eastAsia="方正仿宋简体" w:cs="Times New Roman"/>
          <w:sz w:val="32"/>
          <w:szCs w:val="32"/>
          <w:lang w:eastAsia="zh-CN"/>
        </w:rPr>
        <w:t>有效</w:t>
      </w:r>
      <w:r>
        <w:rPr>
          <w:rFonts w:hint="eastAsia" w:ascii="方正仿宋简体" w:hAnsi="仿宋" w:eastAsia="方正仿宋简体" w:cs="Times New Roman"/>
          <w:sz w:val="32"/>
          <w:szCs w:val="32"/>
        </w:rPr>
        <w:t>壮大</w:t>
      </w:r>
      <w:r>
        <w:rPr>
          <w:rFonts w:hint="eastAsia" w:ascii="方正仿宋简体" w:hAnsi="仿宋" w:eastAsia="方正仿宋简体" w:cs="Times New Roman"/>
          <w:sz w:val="32"/>
          <w:szCs w:val="32"/>
          <w:lang w:eastAsia="zh-CN"/>
        </w:rPr>
        <w:t>了</w:t>
      </w:r>
      <w:r>
        <w:rPr>
          <w:rFonts w:hint="eastAsia" w:ascii="方正仿宋简体" w:hAnsi="仿宋" w:eastAsia="方正仿宋简体" w:cs="Times New Roman"/>
          <w:sz w:val="32"/>
          <w:szCs w:val="32"/>
        </w:rPr>
        <w:t>村集体经济收入，解决</w:t>
      </w:r>
      <w:r>
        <w:rPr>
          <w:rFonts w:hint="eastAsia" w:ascii="方正仿宋简体" w:hAnsi="仿宋" w:eastAsia="方正仿宋简体" w:cs="Times New Roman"/>
          <w:sz w:val="32"/>
          <w:szCs w:val="32"/>
          <w:lang w:eastAsia="zh-CN"/>
        </w:rPr>
        <w:t>了</w:t>
      </w:r>
      <w:r>
        <w:rPr>
          <w:rFonts w:hint="eastAsia" w:ascii="方正仿宋简体" w:hAnsi="仿宋" w:eastAsia="方正仿宋简体" w:cs="Times New Roman"/>
          <w:sz w:val="32"/>
          <w:szCs w:val="32"/>
        </w:rPr>
        <w:t>部分</w:t>
      </w:r>
      <w:r>
        <w:rPr>
          <w:rFonts w:hint="eastAsia" w:ascii="方正仿宋简体" w:hAnsi="仿宋" w:eastAsia="方正仿宋简体" w:cs="Times New Roman"/>
          <w:sz w:val="32"/>
          <w:szCs w:val="32"/>
          <w:lang w:eastAsia="zh-CN"/>
        </w:rPr>
        <w:t>移民</w:t>
      </w:r>
      <w:r>
        <w:rPr>
          <w:rFonts w:hint="eastAsia" w:ascii="方正仿宋简体" w:hAnsi="仿宋" w:eastAsia="方正仿宋简体" w:cs="Times New Roman"/>
          <w:sz w:val="32"/>
          <w:szCs w:val="32"/>
        </w:rPr>
        <w:t>就业。</w:t>
      </w:r>
    </w:p>
    <w:p w14:paraId="6179ED59">
      <w:pPr>
        <w:spacing w:line="580" w:lineRule="exact"/>
        <w:ind w:firstLine="640" w:firstLineChars="200"/>
        <w:rPr>
          <w:rFonts w:ascii="方正仿宋简体" w:hAnsi="仿宋" w:eastAsia="方正仿宋简体" w:cs="Times New Roman"/>
          <w:sz w:val="32"/>
          <w:szCs w:val="32"/>
        </w:rPr>
      </w:pPr>
      <w:r>
        <w:rPr>
          <w:rFonts w:hint="eastAsia" w:ascii="华文楷体" w:hAnsi="华文楷体" w:eastAsia="华文楷体" w:cs="华文楷体"/>
          <w:sz w:val="32"/>
          <w:szCs w:val="32"/>
        </w:rPr>
        <w:t>（三）这一年，我们以“刀刃向内”重塑制度体系，全面提升规范管理水平。</w:t>
      </w:r>
      <w:r>
        <w:rPr>
          <w:rFonts w:hint="eastAsia" w:ascii="方正仿宋简体" w:hAnsi="仿宋" w:eastAsia="方正仿宋简体" w:cs="Times New Roman"/>
          <w:sz w:val="32"/>
          <w:szCs w:val="32"/>
        </w:rPr>
        <w:t>为迎接国家审计署对20年移民政策执行情况进行审计，我们成立工作专班，对2006-2024年间的资金流向、项目实施及人口变动进行了全链条、全周期的回溯与系统性审视，全面核查近4000个扶持项目，梳理了问题清单（同步已交办至责任主体），总结了政策执行</w:t>
      </w:r>
      <w:r>
        <w:rPr>
          <w:rFonts w:hint="eastAsia" w:ascii="方正仿宋简体" w:hAnsi="仿宋" w:eastAsia="方正仿宋简体" w:cs="Times New Roman"/>
          <w:sz w:val="32"/>
          <w:szCs w:val="32"/>
          <w:lang w:eastAsia="zh-CN"/>
        </w:rPr>
        <w:t>情况</w:t>
      </w:r>
      <w:r>
        <w:rPr>
          <w:rFonts w:hint="eastAsia" w:ascii="方正仿宋简体" w:hAnsi="仿宋" w:eastAsia="方正仿宋简体" w:cs="Times New Roman"/>
          <w:sz w:val="32"/>
          <w:szCs w:val="32"/>
        </w:rPr>
        <w:t>，强化了问题整改。在今年被省委巡视抽查的三眼塘重点移民村（此村2021年—2024年涉移资金676.2万元，共</w:t>
      </w:r>
      <w:r>
        <w:rPr>
          <w:rFonts w:hint="eastAsia" w:ascii="方正仿宋简体" w:hAnsi="仿宋" w:eastAsia="方正仿宋简体" w:cs="Times New Roman"/>
          <w:sz w:val="32"/>
          <w:szCs w:val="32"/>
          <w:lang w:eastAsia="zh-CN"/>
        </w:rPr>
        <w:t>涉及</w:t>
      </w:r>
      <w:r>
        <w:rPr>
          <w:rFonts w:hint="eastAsia" w:ascii="方正仿宋简体" w:hAnsi="仿宋" w:eastAsia="方正仿宋简体" w:cs="Times New Roman"/>
          <w:sz w:val="32"/>
          <w:szCs w:val="32"/>
        </w:rPr>
        <w:t>29</w:t>
      </w:r>
      <w:r>
        <w:rPr>
          <w:rFonts w:hint="eastAsia" w:ascii="方正仿宋简体" w:hAnsi="仿宋" w:eastAsia="方正仿宋简体" w:cs="Times New Roman"/>
          <w:sz w:val="32"/>
          <w:szCs w:val="32"/>
          <w:lang w:eastAsia="zh-CN"/>
        </w:rPr>
        <w:t>个</w:t>
      </w:r>
      <w:r>
        <w:rPr>
          <w:rFonts w:hint="eastAsia" w:ascii="方正仿宋简体" w:hAnsi="仿宋" w:eastAsia="方正仿宋简体" w:cs="Times New Roman"/>
          <w:sz w:val="32"/>
          <w:szCs w:val="32"/>
        </w:rPr>
        <w:t>项目），因我们提前调度、主动对接、及时整改，移民板块未出现任何问题。特别是会同财政部门，清理了前18年移民后扶资金台账，彻底将2024年前120多万元存量资金，通过调、转、报、变等方式返还移民部门，作为项目资金予以实施且全部化解清零。同时，我们以此作为立破并举的窗口期，扭转了以往违规或不合理的</w:t>
      </w:r>
      <w:r>
        <w:rPr>
          <w:rFonts w:hint="eastAsia" w:ascii="方正仿宋简体" w:hAnsi="仿宋" w:eastAsia="方正仿宋简体" w:cs="Times New Roman"/>
          <w:sz w:val="32"/>
          <w:szCs w:val="32"/>
          <w:lang w:eastAsia="zh-CN"/>
        </w:rPr>
        <w:t>陋习</w:t>
      </w:r>
      <w:r>
        <w:rPr>
          <w:rFonts w:hint="eastAsia" w:ascii="方正仿宋简体" w:hAnsi="仿宋" w:eastAsia="方正仿宋简体" w:cs="Times New Roman"/>
          <w:sz w:val="32"/>
          <w:szCs w:val="32"/>
        </w:rPr>
        <w:t>，出台了《沅江市后期扶持移民项目实施细则》，制定了移民项目管理工程档案模板，进一步规范了资金和项目管理流程。</w:t>
      </w:r>
    </w:p>
    <w:p w14:paraId="0530275F">
      <w:pPr>
        <w:spacing w:line="580" w:lineRule="exact"/>
        <w:ind w:firstLine="640" w:firstLineChars="200"/>
        <w:jc w:val="left"/>
        <w:rPr>
          <w:rFonts w:ascii="华文楷体" w:hAnsi="华文楷体" w:eastAsia="华文楷体" w:cs="华文楷体"/>
          <w:sz w:val="32"/>
          <w:szCs w:val="32"/>
        </w:rPr>
      </w:pPr>
      <w:r>
        <w:rPr>
          <w:rFonts w:hint="eastAsia" w:ascii="华文楷体" w:hAnsi="华文楷体" w:eastAsia="华文楷体" w:cs="华文楷体"/>
          <w:sz w:val="32"/>
          <w:szCs w:val="32"/>
        </w:rPr>
        <w:t>（四）这一年，我们以“真心为民”狠抓政策执行，夯实移民民生保障基石。</w:t>
      </w:r>
      <w:r>
        <w:rPr>
          <w:rFonts w:hint="eastAsia" w:ascii="方正仿宋简体" w:hAnsi="仿宋" w:eastAsia="方正仿宋简体" w:cs="Times New Roman"/>
          <w:sz w:val="32"/>
          <w:szCs w:val="32"/>
        </w:rPr>
        <w:t>一是精心组织开展人口动态调整。年初我们成立工作组，深入各移民户开展了移民人口核查，规范完善全市116个移民村和移民人口信息，完成自然减员209人核减。二是及时足额发放移民直补资金。通过摸排核准，</w:t>
      </w:r>
      <w:r>
        <w:rPr>
          <w:rFonts w:hint="eastAsia" w:ascii="方正仿宋简体" w:hAnsi="仿宋" w:eastAsia="方正仿宋简体" w:cs="Times New Roman"/>
          <w:sz w:val="32"/>
          <w:szCs w:val="32"/>
          <w:lang w:eastAsia="zh-CN"/>
        </w:rPr>
        <w:t>采取</w:t>
      </w:r>
      <w:r>
        <w:rPr>
          <w:rFonts w:hint="eastAsia" w:ascii="方正仿宋简体" w:hAnsi="仿宋" w:eastAsia="方正仿宋简体" w:cs="Times New Roman"/>
          <w:sz w:val="32"/>
          <w:szCs w:val="32"/>
        </w:rPr>
        <w:t>“一卡通”平台发放</w:t>
      </w:r>
      <w:r>
        <w:rPr>
          <w:rFonts w:hint="eastAsia" w:ascii="方正仿宋简体" w:hAnsi="仿宋" w:eastAsia="方正仿宋简体" w:cs="Times New Roman"/>
          <w:sz w:val="32"/>
          <w:szCs w:val="32"/>
          <w:lang w:eastAsia="zh-CN"/>
        </w:rPr>
        <w:t>直补</w:t>
      </w:r>
      <w:r>
        <w:rPr>
          <w:rFonts w:hint="eastAsia" w:ascii="方正仿宋简体" w:hAnsi="仿宋" w:eastAsia="方正仿宋简体" w:cs="Times New Roman"/>
          <w:sz w:val="32"/>
          <w:szCs w:val="32"/>
        </w:rPr>
        <w:t>资金560.82万元，受益移民9347人。三是用心用情做好移民再就业培训相关工作。投入资金15万元，组织举办全市移民农业实用技术培训和新型职业农民培训班，培训内容包括电子商务（直播运营方向）培训等，累计培训移民100人次、实现移民转移就业100人，极大增强了移民创业能力和就业信心。同时为帮扶和鼓励移民后代提高就业创业能力，发放移民后扶中长期教育培训补助72万元，</w:t>
      </w:r>
      <w:r>
        <w:rPr>
          <w:rFonts w:hint="eastAsia" w:ascii="方正仿宋简体" w:hAnsi="仿宋" w:eastAsia="方正仿宋简体" w:cs="Times New Roman"/>
          <w:sz w:val="32"/>
          <w:szCs w:val="32"/>
          <w:lang w:eastAsia="zh-CN"/>
        </w:rPr>
        <w:t>惠及</w:t>
      </w:r>
      <w:r>
        <w:rPr>
          <w:rFonts w:hint="eastAsia" w:ascii="方正仿宋简体" w:hAnsi="仿宋" w:eastAsia="方正仿宋简体" w:cs="Times New Roman"/>
          <w:sz w:val="32"/>
          <w:szCs w:val="32"/>
        </w:rPr>
        <w:t>180人次，每人4000元。四是高标准抓好移民项目的实施与管理</w:t>
      </w:r>
      <w:r>
        <w:rPr>
          <w:rFonts w:hint="eastAsia" w:ascii="方正仿宋简体" w:hAnsi="仿宋" w:eastAsia="方正仿宋简体" w:cs="Times New Roman"/>
          <w:sz w:val="32"/>
          <w:szCs w:val="32"/>
          <w:lang w:eastAsia="zh-CN"/>
        </w:rPr>
        <w:t>。</w:t>
      </w:r>
      <w:r>
        <w:rPr>
          <w:rFonts w:hint="eastAsia" w:ascii="方正仿宋简体" w:hAnsi="仿宋" w:eastAsia="方正仿宋简体" w:cs="Times New Roman"/>
          <w:sz w:val="32"/>
          <w:szCs w:val="32"/>
        </w:rPr>
        <w:t>2025年度共完成移民后期扶持项目141个，总投资4400.66万元，工程完成形象进度已达100%。进一步提升和改善了移民村的农田水利、道路交通、产业发展、人居环境整治、农村饮水安全、生态环境治理等基础设施。特别是配合市委、市政府中心工作——沅江市文旅融合发展大会“飞鸟乐园”现场观摩点，我们主动作为，积极调整和筹集移民资金300多万元，为三眼塘村交通基础、产业成型作出了移民贡献。</w:t>
      </w:r>
    </w:p>
    <w:p w14:paraId="2B754E87">
      <w:pPr>
        <w:spacing w:line="580" w:lineRule="exact"/>
        <w:ind w:firstLine="640" w:firstLineChars="200"/>
        <w:rPr>
          <w:rFonts w:ascii="方正仿宋简体" w:hAnsi="仿宋" w:eastAsia="方正仿宋简体" w:cs="Times New Roman"/>
          <w:sz w:val="32"/>
          <w:szCs w:val="32"/>
        </w:rPr>
      </w:pPr>
      <w:r>
        <w:rPr>
          <w:rFonts w:hint="eastAsia" w:ascii="华文楷体" w:hAnsi="华文楷体" w:eastAsia="华文楷体" w:cs="华文楷体"/>
          <w:sz w:val="32"/>
          <w:szCs w:val="32"/>
        </w:rPr>
        <w:t>（五）这一年，我们以“系统谋划”擘画发展蓝图，科学布局“十五五”重点方向。</w:t>
      </w:r>
      <w:r>
        <w:rPr>
          <w:rFonts w:hint="eastAsia" w:ascii="方正仿宋简体" w:hAnsi="仿宋" w:eastAsia="方正仿宋简体" w:cs="Times New Roman"/>
          <w:sz w:val="32"/>
          <w:szCs w:val="32"/>
        </w:rPr>
        <w:t>一方面我们系统总结“十四五”时期库区移民工作目标任务和所取得的成绩，移民集中安置区和库区基础设施已从破旧、残损、凋零的旧农村面貌特征，逐步转向为水利设施完善、交通运输方便、人文环境美观的美丽家园景象；移民产业已从以解决温饱为主的生存型阶段，逐步转向以增收致富为核心的发展型新阶段。另一方面我们深入一线调研，结合群众呼声和期盼，着眼“补短板、稳产业、促增收”制定了“十五五”规划。通过持续向上级主管部门对接与沟通，精确项目内容、优化可研报告，已将胭包山水库库区排涝能力提升工程项目纳入移民突出问题项目库优先序列。并将四季红镇（南湾湖基地）特色农业产业示范园基地建设、稻虾产业融合发展、光伏产业发展、腐乳产业发展及胭脂湖文旅产业发展纳入规划范畴，且逐一向省中心领导阐明思路和表达诉求。</w:t>
      </w:r>
    </w:p>
    <w:p w14:paraId="79D6D7BB">
      <w:pPr>
        <w:spacing w:line="580" w:lineRule="exact"/>
        <w:ind w:firstLine="640" w:firstLineChars="200"/>
        <w:rPr>
          <w:rFonts w:ascii="方正仿宋简体" w:hAnsi="仿宋" w:eastAsia="方正仿宋简体" w:cs="Times New Roman"/>
          <w:sz w:val="32"/>
          <w:szCs w:val="32"/>
        </w:rPr>
      </w:pPr>
      <w:r>
        <w:rPr>
          <w:rFonts w:hint="eastAsia" w:ascii="华文楷体" w:hAnsi="华文楷体" w:eastAsia="华文楷体" w:cs="华文楷体"/>
          <w:sz w:val="32"/>
          <w:szCs w:val="32"/>
        </w:rPr>
        <w:t>（六）这一年，我们以“感恩奋进”凝聚精神力量，讲好新时代移民故事。</w:t>
      </w:r>
      <w:r>
        <w:rPr>
          <w:rFonts w:hint="eastAsia" w:ascii="方正仿宋简体" w:hAnsi="仿宋" w:eastAsia="方正仿宋简体" w:cs="Times New Roman"/>
          <w:sz w:val="32"/>
          <w:szCs w:val="32"/>
        </w:rPr>
        <w:t>恰逢“十四五”规划圆满收官与“十五五”规划擘画启航之年，也是库区移民搬迁至四季红镇60周年、国家移民后期扶持政策实施20周年的重要节点。20年来，库区移民工作取得显著成效，实现了从“忧居”到“宜居”、从“穷路”到“富路”、从“漂泊”到“扎根”的历史性转变。我中心始终坚持尊重历史、感恩奋进，深切铭记移民群众为国家重大工程建设作出的无私奉献，衷心感谢党中央和各级党委政府的持续关怀与大力支持。我们注重扶志与扶智相结合，逐步引导移民群众转变观念，增强内生动力，激发艰苦奋斗、自力更生的精神风貌。为系统展现二十年扶持成效，我们全面收集整理影像与事迹素材，精心制作专题宣传片、短视频和典型案例，并积极对接媒体进行宣传报道。下一步，我们将继续用好宣传载体，讲好移民故事，凝聚发展共识，为沅江高质量发展持续贡献移民力量。</w:t>
      </w:r>
    </w:p>
    <w:p w14:paraId="12C33C84">
      <w:pPr>
        <w:spacing w:line="580" w:lineRule="exact"/>
        <w:ind w:firstLine="640" w:firstLineChars="200"/>
        <w:rPr>
          <w:rFonts w:ascii="方正仿宋简体" w:hAnsi="仿宋" w:eastAsia="方正仿宋简体" w:cs="Times New Roman"/>
          <w:sz w:val="32"/>
          <w:szCs w:val="32"/>
        </w:rPr>
      </w:pPr>
      <w:r>
        <w:rPr>
          <w:rFonts w:hint="eastAsia" w:ascii="华文楷体" w:hAnsi="华文楷体" w:eastAsia="华文楷体" w:cs="华文楷体"/>
          <w:sz w:val="32"/>
          <w:szCs w:val="32"/>
        </w:rPr>
        <w:t>（七）这一年，我们以“党建引领”锻造过硬队伍，夯实事业发展组织保障。</w:t>
      </w:r>
      <w:r>
        <w:rPr>
          <w:rFonts w:hint="eastAsia" w:ascii="方正仿宋简体" w:hAnsi="Times New Roman" w:eastAsia="方正仿宋简体" w:cs="Times New Roman"/>
          <w:color w:val="000000"/>
          <w:sz w:val="32"/>
          <w:szCs w:val="32"/>
        </w:rPr>
        <w:t>一是加强班子自身建设。通过中心组学习、民主生活会和谈心谈话等形式，进一步增强班子凝聚力和战斗力，牢固树立全中心“一盘棋”思想。二是优化内部管理体系。以提升运转效能为目标，修订完善包括公文处理、财务管理、资产管理在内的多项内部制度，形成用制度管权、管事、管人的长效机制。在大编委的支持下，进一步优化“三定”方案，新增2个股室，并相应调整优化了机关内部人员分工，明确岗位职责，确保人岗相适、权责清晰。积极推进“湘办通”政务协同办公平台的全面应用，通过数字化手段优化文件流转、事务审批及内部沟通流程，有效提升了办公效率与协同水平。加强干部日常管理与监督，严肃工作纪律，依托信息化工具进一步规范办事流程，提升服务移民群众的响应速度与专业化水平。三是加强人才队伍建设。针对队伍青黄不接、技术人员紧缺的状况，通过遴选和公考引进专业人才4名（其中硕士研究生1名），有效补充了专业力量，保障了单位正常运转。创建“学习提升群”，促进个人自学与相互交流，分享优秀文稿与业务知识，切实提升干部履职能力和个人综合素质。通过以上举措，机关整体行政效能和规范化水平得到显著提升。</w:t>
      </w:r>
    </w:p>
    <w:p w14:paraId="7C5339C9">
      <w:pPr>
        <w:spacing w:line="580" w:lineRule="exact"/>
        <w:ind w:firstLine="656" w:firstLineChars="205"/>
        <w:rPr>
          <w:rFonts w:ascii="黑体" w:hAnsi="黑体" w:eastAsia="黑体"/>
          <w:sz w:val="32"/>
          <w:szCs w:val="32"/>
        </w:rPr>
      </w:pPr>
      <w:r>
        <w:rPr>
          <w:rFonts w:hint="eastAsia" w:ascii="黑体" w:hAnsi="黑体" w:eastAsia="黑体"/>
          <w:sz w:val="32"/>
          <w:szCs w:val="32"/>
        </w:rPr>
        <w:t>三、思行致远篇：剖析现状，擘画未来</w:t>
      </w:r>
    </w:p>
    <w:p w14:paraId="2515711A">
      <w:pPr>
        <w:spacing w:line="580" w:lineRule="exact"/>
        <w:ind w:firstLine="640" w:firstLineChars="200"/>
        <w:rPr>
          <w:rFonts w:ascii="方正仿宋简体" w:hAnsi="方正仿宋_GBK" w:eastAsia="方正仿宋简体" w:cs="方正仿宋_GBK"/>
          <w:sz w:val="32"/>
          <w:szCs w:val="32"/>
        </w:rPr>
      </w:pPr>
      <w:r>
        <w:rPr>
          <w:rFonts w:hint="eastAsia" w:ascii="方正仿宋简体" w:hAnsi="方正仿宋简体" w:eastAsia="方正仿宋简体" w:cs="方正仿宋简体"/>
          <w:sz w:val="32"/>
          <w:szCs w:val="32"/>
        </w:rPr>
        <w:t>2025年是“十四五”移民后扶工作的收官之年，我中心清醒认识到，当前工作中还存在一些短板。一是发展动能仍需增强，产业“造血”功能、特色资源转化潜力有待进一步释放。二是宜居成色仍需提升，部分移民安置点在人居环境、公共服务设施等方面尚有改善空间。三是长效支撑仍需夯实，政策保障效应与移民期待、区域平衡与风险防控能力均需持续优化。2026年是“十五五”规划的开局之年，也是移民后扶政策衔接优化的关键之年。做好明年工作至关重要，必须坚持稳中求进、以进促稳，为实现移民事业高质量发展打下更加坚实的基础。中心将全力以赴强弱项、补短板、固根基，进一步激活内生动力、释放发展潜力、筑牢稳定根基。</w:t>
      </w:r>
    </w:p>
    <w:p w14:paraId="69C984C7">
      <w:pPr>
        <w:spacing w:line="580" w:lineRule="exact"/>
        <w:ind w:firstLine="640" w:firstLineChars="200"/>
        <w:rPr>
          <w:rFonts w:eastAsia="方正仿宋简体"/>
        </w:rPr>
      </w:pPr>
      <w:r>
        <w:rPr>
          <w:rFonts w:hint="eastAsia" w:ascii="楷体" w:hAnsi="楷体" w:eastAsia="楷体" w:cs="楷体"/>
          <w:bCs/>
          <w:color w:val="000000"/>
          <w:sz w:val="32"/>
          <w:szCs w:val="32"/>
        </w:rPr>
        <w:t>（一）狠抓思想建设。</w:t>
      </w:r>
      <w:r>
        <w:rPr>
          <w:rFonts w:hint="eastAsia" w:ascii="方正仿宋简体" w:hAnsi="方正仿宋简体" w:eastAsia="方正仿宋简体" w:cs="方正仿宋简体"/>
          <w:sz w:val="32"/>
          <w:szCs w:val="32"/>
        </w:rPr>
        <w:t>我们将始终把牢政治方向，持续用党的创新理论滋养初心、引领使命，将“以移民为中心”的发展思想融入血脉、见于行动。不断强化宗旨意识和为民情怀，确保一切工作都向着“让移民生活更幸福”的目标聚焦，凝聚起“心往一处想、劲往一处使”的奋斗合力。</w:t>
      </w:r>
    </w:p>
    <w:p w14:paraId="4F5019E3">
      <w:pPr>
        <w:spacing w:line="580" w:lineRule="exact"/>
        <w:ind w:firstLine="640" w:firstLineChars="200"/>
        <w:rPr>
          <w:rFonts w:ascii="方正仿宋简体" w:hAnsi="方正仿宋简体" w:eastAsia="方正仿宋简体" w:cs="方正仿宋简体"/>
          <w:sz w:val="32"/>
          <w:szCs w:val="32"/>
        </w:rPr>
      </w:pPr>
      <w:r>
        <w:rPr>
          <w:rFonts w:hint="eastAsia" w:ascii="楷体" w:hAnsi="楷体" w:eastAsia="楷体" w:cs="楷体"/>
          <w:bCs/>
          <w:color w:val="000000"/>
          <w:sz w:val="32"/>
          <w:szCs w:val="32"/>
        </w:rPr>
        <w:t>（二）力促政策延续。</w:t>
      </w:r>
      <w:r>
        <w:rPr>
          <w:rFonts w:hint="eastAsia" w:ascii="方正仿宋简体" w:hAnsi="方正仿宋简体" w:eastAsia="方正仿宋简体" w:cs="方正仿宋简体"/>
          <w:sz w:val="32"/>
          <w:szCs w:val="32"/>
        </w:rPr>
        <w:t>系统总结二十年政策实施成效与深层次矛盾，形成专项报告，通过建议提案、专项汇报等多渠道向上呈报，全力争取2026年上半年明确政策延续方案并建立动态调整机制。同步加强政策动向跟踪与部门协同，深化内外部调研，为政策优化与落实提供扎实支撑。</w:t>
      </w:r>
    </w:p>
    <w:p w14:paraId="2B64D46A">
      <w:pPr>
        <w:spacing w:line="580" w:lineRule="exact"/>
        <w:ind w:firstLine="640" w:firstLineChars="200"/>
        <w:rPr>
          <w:rFonts w:ascii="方正仿宋简体" w:hAnsi="方正仿宋简体" w:eastAsia="方正仿宋简体" w:cs="方正仿宋简体"/>
          <w:sz w:val="32"/>
          <w:szCs w:val="32"/>
        </w:rPr>
      </w:pPr>
      <w:bookmarkStart w:id="0" w:name="OLE_LINK11"/>
      <w:bookmarkStart w:id="1" w:name="OLE_LINK12"/>
      <w:r>
        <w:rPr>
          <w:rFonts w:hint="eastAsia" w:ascii="楷体" w:hAnsi="楷体" w:eastAsia="楷体" w:cs="楷体"/>
          <w:bCs/>
          <w:color w:val="000000"/>
          <w:sz w:val="32"/>
          <w:szCs w:val="32"/>
        </w:rPr>
        <w:t>（三）严抓问题整改。</w:t>
      </w:r>
      <w:bookmarkEnd w:id="0"/>
      <w:bookmarkEnd w:id="1"/>
      <w:bookmarkStart w:id="2" w:name="OLE_LINK7"/>
      <w:bookmarkStart w:id="3" w:name="OLE_LINK8"/>
      <w:r>
        <w:rPr>
          <w:rFonts w:hint="eastAsia" w:ascii="方正仿宋简体" w:hAnsi="Times New Roman" w:eastAsia="方正仿宋简体" w:cs="Times New Roman"/>
          <w:sz w:val="32"/>
          <w:szCs w:val="32"/>
        </w:rPr>
        <w:t>问题清单已交办至属地，要求党委政府主要负责同志亲自调度、专班解剖</w:t>
      </w:r>
      <w:r>
        <w:rPr>
          <w:rFonts w:hint="eastAsia" w:ascii="方正仿宋简体" w:hAnsi="Times New Roman" w:eastAsia="方正仿宋简体" w:cs="Times New Roman"/>
          <w:sz w:val="32"/>
          <w:szCs w:val="32"/>
          <w:lang w:eastAsia="zh-CN"/>
        </w:rPr>
        <w:t>销</w:t>
      </w:r>
      <w:r>
        <w:rPr>
          <w:rFonts w:hint="eastAsia" w:ascii="方正仿宋简体" w:hAnsi="Times New Roman" w:eastAsia="方正仿宋简体" w:cs="Times New Roman"/>
          <w:sz w:val="32"/>
          <w:szCs w:val="32"/>
        </w:rPr>
        <w:t>号；对无法整改且情节严重问题，提请市纪监委处理，以案促改、以案促制。</w:t>
      </w:r>
      <w:r>
        <w:rPr>
          <w:rFonts w:hint="eastAsia" w:ascii="方正仿宋简体" w:hAnsi="方正仿宋简体" w:eastAsia="方正仿宋简体" w:cs="方正仿宋简体"/>
          <w:sz w:val="32"/>
          <w:szCs w:val="32"/>
        </w:rPr>
        <w:t>围绕审计要求与潜在风险，系统推进问题整改，夯实工作基础。</w:t>
      </w:r>
      <w:bookmarkEnd w:id="2"/>
      <w:bookmarkEnd w:id="3"/>
      <w:r>
        <w:rPr>
          <w:rFonts w:hint="eastAsia" w:ascii="方正仿宋简体" w:hAnsi="方正仿宋简体" w:eastAsia="方正仿宋简体" w:cs="方正仿宋简体"/>
          <w:sz w:val="32"/>
          <w:szCs w:val="32"/>
        </w:rPr>
        <w:t>全力配合审计工作，确保衔接顺畅、数据精准；建立审计反馈问题整改台账，实行限时销号与闭环管理。以审计为契机完善长效管理机制，持续提升移民后扶工作的规范化、精细化水平。</w:t>
      </w:r>
    </w:p>
    <w:p w14:paraId="5A40A126">
      <w:pPr>
        <w:spacing w:line="580" w:lineRule="exact"/>
        <w:ind w:firstLine="640" w:firstLineChars="200"/>
        <w:rPr>
          <w:rFonts w:ascii="方正仿宋简体" w:hAnsi="方正仿宋简体" w:eastAsia="方正仿宋简体" w:cs="方正仿宋简体"/>
          <w:sz w:val="32"/>
          <w:szCs w:val="32"/>
        </w:rPr>
      </w:pPr>
      <w:r>
        <w:rPr>
          <w:rFonts w:hint="eastAsia" w:ascii="楷体" w:hAnsi="楷体" w:eastAsia="楷体" w:cs="楷体"/>
          <w:bCs/>
          <w:color w:val="000000"/>
          <w:sz w:val="32"/>
          <w:szCs w:val="32"/>
        </w:rPr>
        <w:t>（四）稳控各类风险。</w:t>
      </w:r>
      <w:bookmarkStart w:id="4" w:name="OLE_LINK10"/>
      <w:bookmarkStart w:id="5" w:name="OLE_LINK9"/>
      <w:r>
        <w:rPr>
          <w:rFonts w:hint="eastAsia" w:ascii="方正仿宋简体" w:hAnsi="方正仿宋简体" w:eastAsia="方正仿宋简体" w:cs="方正仿宋简体"/>
          <w:sz w:val="32"/>
          <w:szCs w:val="32"/>
        </w:rPr>
        <w:t>全面总结宣传二十年政策成效，强化正向引导，凝聚移民共识。加强政策解读与预期管理，动态排查化解因政策不确定性引发的风险隐患。推动移民群体从“被动依赖”向“主动发展”转变，拓展可持续增收渠道。健全跨部门应急协调机制，提升风险处置能力，确保衔接期总体稳定。</w:t>
      </w:r>
    </w:p>
    <w:bookmarkEnd w:id="4"/>
    <w:bookmarkEnd w:id="5"/>
    <w:p w14:paraId="6FDA172C">
      <w:pPr>
        <w:spacing w:line="580" w:lineRule="exact"/>
        <w:ind w:firstLine="640" w:firstLineChars="200"/>
        <w:rPr>
          <w:rFonts w:hint="eastAsia" w:ascii="方正仿宋简体" w:hAnsi="方正仿宋简体" w:eastAsia="方正仿宋简体" w:cs="方正仿宋简体"/>
          <w:sz w:val="32"/>
          <w:szCs w:val="32"/>
        </w:rPr>
      </w:pPr>
      <w:r>
        <w:rPr>
          <w:rFonts w:hint="eastAsia" w:ascii="楷体" w:hAnsi="楷体" w:eastAsia="楷体" w:cs="楷体"/>
          <w:bCs/>
          <w:color w:val="000000"/>
          <w:sz w:val="32"/>
          <w:szCs w:val="32"/>
        </w:rPr>
        <w:t>（五）抢抓新政机遇。</w:t>
      </w:r>
      <w:r>
        <w:rPr>
          <w:rFonts w:hint="eastAsia" w:ascii="方正仿宋简体" w:hAnsi="方正仿宋简体" w:eastAsia="方正仿宋简体" w:cs="方正仿宋简体"/>
          <w:sz w:val="32"/>
          <w:szCs w:val="32"/>
        </w:rPr>
        <w:t>全面开展新政策学习宣传与深度解读，统一思想、明确预期。围绕新政策导向，谋划储备一批打基础、利长远、惠民生的重点项目，夯实项目库。加强向上对接，全力争取将更多项目纳入上级规划与年度计划。同步建立健全配套实施机制，修订完善相关细则与规程，确保政策衔接顺畅、执行有力、监管到位。</w:t>
      </w:r>
    </w:p>
    <w:p w14:paraId="7B3D45AA">
      <w:pPr>
        <w:pStyle w:val="2"/>
        <w:spacing w:line="580" w:lineRule="exact"/>
        <w:rPr>
          <w:rFonts w:hint="eastAsia"/>
        </w:rPr>
      </w:pPr>
    </w:p>
    <w:p w14:paraId="2A025C1C">
      <w:pPr>
        <w:pStyle w:val="2"/>
        <w:spacing w:line="580" w:lineRule="exact"/>
      </w:pPr>
    </w:p>
    <w:sectPr>
      <w:headerReference r:id="rId3" w:type="default"/>
      <w:footerReference r:id="rId4" w:type="default"/>
      <w:footerReference r:id="rId5" w:type="even"/>
      <w:pgSz w:w="11906" w:h="16838"/>
      <w:pgMar w:top="1701" w:right="1417" w:bottom="1701"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86"/>
    <w:family w:val="script"/>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仿宋_GB2312">
    <w:altName w:val="方正仿宋_GBK"/>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68289"/>
    </w:sdtPr>
    <w:sdtEndPr>
      <w:rPr>
        <w:rFonts w:ascii="仿宋" w:hAnsi="仿宋" w:eastAsia="仿宋"/>
        <w:sz w:val="28"/>
        <w:szCs w:val="28"/>
      </w:rPr>
    </w:sdtEndPr>
    <w:sdtContent>
      <w:p w14:paraId="6E83EA25">
        <w:pPr>
          <w:pStyle w:val="8"/>
          <w:jc w:val="center"/>
        </w:pPr>
        <w:r>
          <w:rPr>
            <w:rFonts w:ascii="仿宋" w:hAnsi="仿宋" w:eastAsia="仿宋"/>
            <w:sz w:val="28"/>
            <w:szCs w:val="28"/>
          </w:rPr>
          <w:fldChar w:fldCharType="begin"/>
        </w:r>
        <w:r>
          <w:rPr>
            <w:rFonts w:ascii="仿宋" w:hAnsi="仿宋" w:eastAsia="仿宋"/>
            <w:sz w:val="28"/>
            <w:szCs w:val="28"/>
          </w:rPr>
          <w:instrText xml:space="preserve"> PAGE   \* MERGEFORMAT </w:instrText>
        </w:r>
        <w:r>
          <w:rPr>
            <w:rFonts w:ascii="仿宋" w:hAnsi="仿宋" w:eastAsia="仿宋"/>
            <w:sz w:val="28"/>
            <w:szCs w:val="28"/>
          </w:rPr>
          <w:fldChar w:fldCharType="separate"/>
        </w:r>
        <w:r>
          <w:rPr>
            <w:rFonts w:ascii="仿宋" w:hAnsi="仿宋" w:eastAsia="仿宋"/>
            <w:sz w:val="28"/>
            <w:szCs w:val="28"/>
            <w:lang w:val="zh-CN"/>
          </w:rPr>
          <w:t>-</w:t>
        </w:r>
        <w:r>
          <w:rPr>
            <w:rFonts w:ascii="仿宋" w:hAnsi="仿宋" w:eastAsia="仿宋"/>
            <w:sz w:val="28"/>
            <w:szCs w:val="28"/>
          </w:rPr>
          <w:t xml:space="preserve"> 3 -</w:t>
        </w:r>
        <w:r>
          <w:rPr>
            <w:rFonts w:ascii="仿宋" w:hAnsi="仿宋" w:eastAsia="仿宋"/>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705714"/>
    </w:sdtPr>
    <w:sdtEndPr>
      <w:rPr>
        <w:rFonts w:asciiTheme="minorEastAsia" w:hAnsiTheme="minorEastAsia"/>
        <w:sz w:val="28"/>
        <w:szCs w:val="28"/>
      </w:rPr>
    </w:sdtEndPr>
    <w:sdtContent>
      <w:p w14:paraId="20AF1538">
        <w:pPr>
          <w:pStyle w:val="8"/>
          <w:ind w:firstLine="270" w:firstLineChars="150"/>
        </w:pPr>
      </w:p>
    </w:sdtContent>
  </w:sdt>
  <w:p w14:paraId="476283E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2253">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00B07DEF"/>
    <w:rsid w:val="000255C5"/>
    <w:rsid w:val="00046E24"/>
    <w:rsid w:val="00050A99"/>
    <w:rsid w:val="00052F31"/>
    <w:rsid w:val="000F11C8"/>
    <w:rsid w:val="00112E29"/>
    <w:rsid w:val="00162A10"/>
    <w:rsid w:val="001643CE"/>
    <w:rsid w:val="00173D38"/>
    <w:rsid w:val="001E54F8"/>
    <w:rsid w:val="001E6381"/>
    <w:rsid w:val="0028015A"/>
    <w:rsid w:val="00285EA0"/>
    <w:rsid w:val="00290085"/>
    <w:rsid w:val="002C7BB3"/>
    <w:rsid w:val="002D309A"/>
    <w:rsid w:val="00342CC9"/>
    <w:rsid w:val="003B7213"/>
    <w:rsid w:val="003C2867"/>
    <w:rsid w:val="003E3484"/>
    <w:rsid w:val="003F66AA"/>
    <w:rsid w:val="00434D27"/>
    <w:rsid w:val="00466C57"/>
    <w:rsid w:val="00485EBC"/>
    <w:rsid w:val="004A1C1E"/>
    <w:rsid w:val="004C3325"/>
    <w:rsid w:val="0053495C"/>
    <w:rsid w:val="00542775"/>
    <w:rsid w:val="005C60FC"/>
    <w:rsid w:val="005C65E1"/>
    <w:rsid w:val="005D7FF9"/>
    <w:rsid w:val="006156A7"/>
    <w:rsid w:val="006A6C1D"/>
    <w:rsid w:val="006E3D82"/>
    <w:rsid w:val="00714BAF"/>
    <w:rsid w:val="00770F0A"/>
    <w:rsid w:val="007B2F04"/>
    <w:rsid w:val="007F5C42"/>
    <w:rsid w:val="00801C78"/>
    <w:rsid w:val="008054E8"/>
    <w:rsid w:val="00805BB5"/>
    <w:rsid w:val="00820D3F"/>
    <w:rsid w:val="008449B7"/>
    <w:rsid w:val="00873540"/>
    <w:rsid w:val="0087619C"/>
    <w:rsid w:val="0088475C"/>
    <w:rsid w:val="008B57C5"/>
    <w:rsid w:val="008C7373"/>
    <w:rsid w:val="008D6CAE"/>
    <w:rsid w:val="008D7537"/>
    <w:rsid w:val="008F6B0F"/>
    <w:rsid w:val="009308D4"/>
    <w:rsid w:val="0095336E"/>
    <w:rsid w:val="00974BA9"/>
    <w:rsid w:val="00996F63"/>
    <w:rsid w:val="009D2450"/>
    <w:rsid w:val="009E446C"/>
    <w:rsid w:val="009F5D3D"/>
    <w:rsid w:val="00A86FBB"/>
    <w:rsid w:val="00AE25A4"/>
    <w:rsid w:val="00B07DEF"/>
    <w:rsid w:val="00B84F0A"/>
    <w:rsid w:val="00BB3B5E"/>
    <w:rsid w:val="00BB4352"/>
    <w:rsid w:val="00BF43F9"/>
    <w:rsid w:val="00C513D0"/>
    <w:rsid w:val="00C75437"/>
    <w:rsid w:val="00C91D28"/>
    <w:rsid w:val="00C95E66"/>
    <w:rsid w:val="00CC606C"/>
    <w:rsid w:val="00CD6FD9"/>
    <w:rsid w:val="00D019BF"/>
    <w:rsid w:val="00D81B71"/>
    <w:rsid w:val="00E975C1"/>
    <w:rsid w:val="00F23DFB"/>
    <w:rsid w:val="00F3080D"/>
    <w:rsid w:val="00F53351"/>
    <w:rsid w:val="00F8328C"/>
    <w:rsid w:val="00FC1232"/>
    <w:rsid w:val="030B6598"/>
    <w:rsid w:val="04776662"/>
    <w:rsid w:val="064415F4"/>
    <w:rsid w:val="06690E1E"/>
    <w:rsid w:val="0736405C"/>
    <w:rsid w:val="0AFF875F"/>
    <w:rsid w:val="0C5B469B"/>
    <w:rsid w:val="0D3B21F1"/>
    <w:rsid w:val="0DED42C9"/>
    <w:rsid w:val="0FF16544"/>
    <w:rsid w:val="0FFD62B3"/>
    <w:rsid w:val="14466DCB"/>
    <w:rsid w:val="15FC25B9"/>
    <w:rsid w:val="161D3EE3"/>
    <w:rsid w:val="16FA4BBF"/>
    <w:rsid w:val="16FFB7ED"/>
    <w:rsid w:val="1D773D97"/>
    <w:rsid w:val="1D7B31AC"/>
    <w:rsid w:val="1E5B61CE"/>
    <w:rsid w:val="24077813"/>
    <w:rsid w:val="27DF1ADB"/>
    <w:rsid w:val="29EF15FA"/>
    <w:rsid w:val="2B6E67E2"/>
    <w:rsid w:val="2BEE1707"/>
    <w:rsid w:val="2E3DFF3E"/>
    <w:rsid w:val="2F2B74F6"/>
    <w:rsid w:val="2F7BAA88"/>
    <w:rsid w:val="33D274DA"/>
    <w:rsid w:val="34F87BBE"/>
    <w:rsid w:val="353759C8"/>
    <w:rsid w:val="356E62BA"/>
    <w:rsid w:val="35FF998D"/>
    <w:rsid w:val="373054EE"/>
    <w:rsid w:val="380757BF"/>
    <w:rsid w:val="397F8276"/>
    <w:rsid w:val="3BFF3876"/>
    <w:rsid w:val="3CDD0F41"/>
    <w:rsid w:val="3EAF59A4"/>
    <w:rsid w:val="3EEBE5A3"/>
    <w:rsid w:val="3F1068C2"/>
    <w:rsid w:val="3F9C1EA7"/>
    <w:rsid w:val="3FBB651F"/>
    <w:rsid w:val="3FFF4AA4"/>
    <w:rsid w:val="448F43D0"/>
    <w:rsid w:val="44C36998"/>
    <w:rsid w:val="452C07F0"/>
    <w:rsid w:val="47F210A1"/>
    <w:rsid w:val="4ADC6BAB"/>
    <w:rsid w:val="4AE9678B"/>
    <w:rsid w:val="4B237456"/>
    <w:rsid w:val="4D455AF7"/>
    <w:rsid w:val="4E6A7BE3"/>
    <w:rsid w:val="4EC72940"/>
    <w:rsid w:val="4F996D34"/>
    <w:rsid w:val="4FEDD0B1"/>
    <w:rsid w:val="53DE4096"/>
    <w:rsid w:val="54BB6678"/>
    <w:rsid w:val="5503731F"/>
    <w:rsid w:val="56AB3910"/>
    <w:rsid w:val="57F6FCD4"/>
    <w:rsid w:val="5A867B53"/>
    <w:rsid w:val="5D4930BA"/>
    <w:rsid w:val="5DBFFA67"/>
    <w:rsid w:val="5E800891"/>
    <w:rsid w:val="5F3B52C8"/>
    <w:rsid w:val="5F7A0CF6"/>
    <w:rsid w:val="5F9B8C82"/>
    <w:rsid w:val="5FFF2015"/>
    <w:rsid w:val="5FFF37A6"/>
    <w:rsid w:val="60E06A46"/>
    <w:rsid w:val="617958FD"/>
    <w:rsid w:val="61B027E1"/>
    <w:rsid w:val="65456A08"/>
    <w:rsid w:val="65B8D701"/>
    <w:rsid w:val="66493FC4"/>
    <w:rsid w:val="66FD4E98"/>
    <w:rsid w:val="6736E910"/>
    <w:rsid w:val="697F5C40"/>
    <w:rsid w:val="6995786A"/>
    <w:rsid w:val="6B17DEA5"/>
    <w:rsid w:val="6B3C236C"/>
    <w:rsid w:val="6BEE4CBB"/>
    <w:rsid w:val="6C167FDC"/>
    <w:rsid w:val="6C1C510B"/>
    <w:rsid w:val="6D3F9461"/>
    <w:rsid w:val="6D884E55"/>
    <w:rsid w:val="6DF47B59"/>
    <w:rsid w:val="6DF75DFA"/>
    <w:rsid w:val="6EDB1022"/>
    <w:rsid w:val="6EEF4553"/>
    <w:rsid w:val="6F95F9CB"/>
    <w:rsid w:val="6F9770E4"/>
    <w:rsid w:val="6FAF2E9C"/>
    <w:rsid w:val="70466C0B"/>
    <w:rsid w:val="70876719"/>
    <w:rsid w:val="717BD7B1"/>
    <w:rsid w:val="73F62D62"/>
    <w:rsid w:val="746740F9"/>
    <w:rsid w:val="759B8DD2"/>
    <w:rsid w:val="75F76136"/>
    <w:rsid w:val="75F79349"/>
    <w:rsid w:val="75FD725C"/>
    <w:rsid w:val="76BE6E34"/>
    <w:rsid w:val="76DCA5A4"/>
    <w:rsid w:val="76FC04A6"/>
    <w:rsid w:val="777159C1"/>
    <w:rsid w:val="77DB2B1E"/>
    <w:rsid w:val="77E72117"/>
    <w:rsid w:val="77EDC064"/>
    <w:rsid w:val="77EEF0C8"/>
    <w:rsid w:val="77EF1BAF"/>
    <w:rsid w:val="787FCDA2"/>
    <w:rsid w:val="797FA073"/>
    <w:rsid w:val="7A9F9A30"/>
    <w:rsid w:val="7AFADFA5"/>
    <w:rsid w:val="7B7FE79C"/>
    <w:rsid w:val="7BAD1B57"/>
    <w:rsid w:val="7BF56C50"/>
    <w:rsid w:val="7CFF190E"/>
    <w:rsid w:val="7D742D57"/>
    <w:rsid w:val="7D859C4E"/>
    <w:rsid w:val="7DDFBB4A"/>
    <w:rsid w:val="7DF3F3CD"/>
    <w:rsid w:val="7EEFDAC3"/>
    <w:rsid w:val="7EFD3C13"/>
    <w:rsid w:val="7EFFD18C"/>
    <w:rsid w:val="7F9B9050"/>
    <w:rsid w:val="7F9C3D26"/>
    <w:rsid w:val="7FB7A96C"/>
    <w:rsid w:val="7FDE6E32"/>
    <w:rsid w:val="7FE97672"/>
    <w:rsid w:val="7FFF13A1"/>
    <w:rsid w:val="7FFF1E5C"/>
    <w:rsid w:val="7FFF3E0D"/>
    <w:rsid w:val="7FFF906A"/>
    <w:rsid w:val="8F7BF2C5"/>
    <w:rsid w:val="913F4EEC"/>
    <w:rsid w:val="96FCAC03"/>
    <w:rsid w:val="97ED4AE1"/>
    <w:rsid w:val="9D4B5CFF"/>
    <w:rsid w:val="9EC7957C"/>
    <w:rsid w:val="9F7B3AAC"/>
    <w:rsid w:val="A36D7683"/>
    <w:rsid w:val="A78F68D9"/>
    <w:rsid w:val="A9E61514"/>
    <w:rsid w:val="A9F5BF9F"/>
    <w:rsid w:val="ADC062B0"/>
    <w:rsid w:val="AEDF2B55"/>
    <w:rsid w:val="AFD7ED7B"/>
    <w:rsid w:val="B2F6E6E1"/>
    <w:rsid w:val="B5FD611C"/>
    <w:rsid w:val="B7BDD3A6"/>
    <w:rsid w:val="B7DEDCF8"/>
    <w:rsid w:val="BA7B23C6"/>
    <w:rsid w:val="BB9EDD46"/>
    <w:rsid w:val="BBB7CAC7"/>
    <w:rsid w:val="BBF58FF6"/>
    <w:rsid w:val="BCFC9A89"/>
    <w:rsid w:val="BCFF0FD3"/>
    <w:rsid w:val="BDBB4F44"/>
    <w:rsid w:val="BEBFD8EF"/>
    <w:rsid w:val="BFBFFA30"/>
    <w:rsid w:val="CD1E20BD"/>
    <w:rsid w:val="CD735ECA"/>
    <w:rsid w:val="CDEFE6DE"/>
    <w:rsid w:val="CE19F99F"/>
    <w:rsid w:val="CFD6B634"/>
    <w:rsid w:val="CFDB9EEC"/>
    <w:rsid w:val="D167BE37"/>
    <w:rsid w:val="D39B1E89"/>
    <w:rsid w:val="D3F7FF33"/>
    <w:rsid w:val="D7F87688"/>
    <w:rsid w:val="D9C7AF29"/>
    <w:rsid w:val="DBBE25DD"/>
    <w:rsid w:val="DDFF0DB2"/>
    <w:rsid w:val="DE6C069D"/>
    <w:rsid w:val="DF35D3F9"/>
    <w:rsid w:val="DF5DE502"/>
    <w:rsid w:val="DFAB82EC"/>
    <w:rsid w:val="DFAD6E81"/>
    <w:rsid w:val="E2EF1929"/>
    <w:rsid w:val="E3FF0244"/>
    <w:rsid w:val="EBBD7CBF"/>
    <w:rsid w:val="EBDEE550"/>
    <w:rsid w:val="ECBFC9EC"/>
    <w:rsid w:val="EDFE2BB7"/>
    <w:rsid w:val="EE7D34C9"/>
    <w:rsid w:val="EEDEE299"/>
    <w:rsid w:val="EF328450"/>
    <w:rsid w:val="EFBD717C"/>
    <w:rsid w:val="EFF8A092"/>
    <w:rsid w:val="EFFDC5CF"/>
    <w:rsid w:val="F3AAA30A"/>
    <w:rsid w:val="F3F74818"/>
    <w:rsid w:val="F3FF69B7"/>
    <w:rsid w:val="F4EE4B37"/>
    <w:rsid w:val="F5FEBCE7"/>
    <w:rsid w:val="F63F80D3"/>
    <w:rsid w:val="F6FFE19E"/>
    <w:rsid w:val="F77FE710"/>
    <w:rsid w:val="F7B19D6E"/>
    <w:rsid w:val="F7B6B608"/>
    <w:rsid w:val="F7DF5384"/>
    <w:rsid w:val="F7E74113"/>
    <w:rsid w:val="F7FFE900"/>
    <w:rsid w:val="F87B5E56"/>
    <w:rsid w:val="F95FA039"/>
    <w:rsid w:val="FAFF5727"/>
    <w:rsid w:val="FAFF889D"/>
    <w:rsid w:val="FBDE1B98"/>
    <w:rsid w:val="FCB71001"/>
    <w:rsid w:val="FCFB1470"/>
    <w:rsid w:val="FDEEC91E"/>
    <w:rsid w:val="FE4E1B29"/>
    <w:rsid w:val="FE5BF920"/>
    <w:rsid w:val="FE734873"/>
    <w:rsid w:val="FEBAFB58"/>
    <w:rsid w:val="FEBEFD0A"/>
    <w:rsid w:val="FEBFF735"/>
    <w:rsid w:val="FEEF4F7F"/>
    <w:rsid w:val="FEFBFAAA"/>
    <w:rsid w:val="FEFD1FB3"/>
    <w:rsid w:val="FF6F10AD"/>
    <w:rsid w:val="FF7F943B"/>
    <w:rsid w:val="FF877F19"/>
    <w:rsid w:val="FFBD25D3"/>
    <w:rsid w:val="FFDD904A"/>
    <w:rsid w:val="FFE7FC97"/>
    <w:rsid w:val="FFF9D97A"/>
    <w:rsid w:val="FFFBE09D"/>
    <w:rsid w:val="FFFF7A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3"/>
    <w:next w:val="1"/>
    <w:qFormat/>
    <w:uiPriority w:val="0"/>
    <w:pPr>
      <w:keepNext/>
      <w:keepLines/>
      <w:widowControl w:val="0"/>
      <w:spacing w:before="260" w:after="260" w:line="416" w:lineRule="auto"/>
      <w:jc w:val="both"/>
      <w:outlineLvl w:val="2"/>
    </w:pPr>
    <w:rPr>
      <w:rFonts w:ascii="Times New Roman" w:hAnsi="Times New Roman" w:eastAsia="宋体" w:cs="Times New Roman"/>
      <w:b/>
      <w:bCs/>
      <w:kern w:val="2"/>
      <w:sz w:val="32"/>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next w:val="1"/>
    <w:unhideWhenUsed/>
    <w:qFormat/>
    <w:uiPriority w:val="39"/>
    <w:pPr>
      <w:widowControl w:val="0"/>
      <w:jc w:val="both"/>
    </w:pPr>
    <w:rPr>
      <w:rFonts w:ascii="仿宋_GB2312" w:hAnsi="仿宋_GB2312" w:eastAsia="仿宋_GB2312" w:cs="仿宋_GB2312"/>
      <w:kern w:val="2"/>
      <w:sz w:val="21"/>
      <w:szCs w:val="32"/>
      <w:lang w:val="en-US" w:eastAsia="zh-CN" w:bidi="ar-SA"/>
    </w:r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1680"/>
    </w:pPr>
  </w:style>
  <w:style w:type="paragraph" w:styleId="7">
    <w:name w:val="Balloon Text"/>
    <w:basedOn w:val="1"/>
    <w:link w:val="16"/>
    <w:semiHidden/>
    <w:unhideWhenUsed/>
    <w:qFormat/>
    <w:uiPriority w:val="99"/>
    <w:rPr>
      <w:sz w:val="18"/>
      <w:szCs w:val="18"/>
    </w:rPr>
  </w:style>
  <w:style w:type="paragraph" w:styleId="8">
    <w:name w:val="footer"/>
    <w:basedOn w:val="1"/>
    <w:next w:val="6"/>
    <w:link w:val="15"/>
    <w:unhideWhenUsed/>
    <w:qFormat/>
    <w:uiPriority w:val="99"/>
    <w:pPr>
      <w:tabs>
        <w:tab w:val="center" w:pos="4153"/>
        <w:tab w:val="right" w:pos="8306"/>
      </w:tabs>
      <w:snapToGrid w:val="0"/>
      <w:jc w:val="left"/>
    </w:pPr>
    <w:rPr>
      <w:sz w:val="18"/>
      <w:szCs w:val="18"/>
    </w:rPr>
  </w:style>
  <w:style w:type="paragraph" w:styleId="9">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页眉 Char"/>
    <w:basedOn w:val="13"/>
    <w:link w:val="9"/>
    <w:semiHidden/>
    <w:qFormat/>
    <w:uiPriority w:val="99"/>
    <w:rPr>
      <w:sz w:val="18"/>
      <w:szCs w:val="18"/>
    </w:rPr>
  </w:style>
  <w:style w:type="character" w:customStyle="1" w:styleId="15">
    <w:name w:val="页脚 Char"/>
    <w:basedOn w:val="13"/>
    <w:link w:val="8"/>
    <w:qFormat/>
    <w:uiPriority w:val="99"/>
    <w:rPr>
      <w:sz w:val="18"/>
      <w:szCs w:val="18"/>
    </w:rPr>
  </w:style>
  <w:style w:type="character" w:customStyle="1" w:styleId="16">
    <w:name w:val="批注框文本 Char"/>
    <w:basedOn w:val="13"/>
    <w:link w:val="7"/>
    <w:semiHidden/>
    <w:qFormat/>
    <w:uiPriority w:val="99"/>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888</Words>
  <Characters>5067</Characters>
  <Lines>42</Lines>
  <Paragraphs>11</Paragraphs>
  <TotalTime>239</TotalTime>
  <ScaleCrop>false</ScaleCrop>
  <LinksUpToDate>false</LinksUpToDate>
  <CharactersWithSpaces>5944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2022-01-15T08:35:00Z</dcterms:created>
  <dc:creator>Microsoft</dc:creator>
  <cp:lastModifiedBy>ymzx2501</cp:lastModifiedBy>
  <cp:lastPrinted>2022-01-21T01:22:00Z</cp:lastPrinted>
  <dcterms:modified xsi:type="dcterms:W3CDTF">2026-04-28T11:32:37Z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41EFFAECCB39748F552AF069F4B6899C_43</vt:lpwstr>
  </property>
  <property fmtid="{D5CDD505-2E9C-101B-9397-08002B2CF9AE}" pid="4" name="KSOTemplateDocerSaveRecord">
    <vt:lpwstr>eyJoZGlkIjoiM2FmYmQwNmU0YjkzNGExNGU5NjM2NGEyMDYzNTA1YzUiLCJ1c2VySWQiOiIyODUxNDk1MzcifQ==</vt:lpwstr>
  </property>
</Properties>
</file>