
<file path=[Content_Types].xml><?xml version="1.0" encoding="utf-8"?>
<Types xmlns="http://schemas.openxmlformats.org/package/2006/content-types">
  <Default Extension="xml" ContentType="application/xml"/>
  <Default Extension="emf" ContentType="image/x-emf"/>
  <Default Extension="bin" ContentType="application/vnd.openxmlformats-officedocument.oleObjec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6B5EB0">
      <w:pPr>
        <w:pStyle w:val="15"/>
        <w:jc w:val="both"/>
        <w:rPr>
          <w:rFonts w:hAnsi="黑体"/>
          <w:sz w:val="36"/>
          <w:szCs w:val="36"/>
        </w:rPr>
      </w:pPr>
      <w:r>
        <w:rPr>
          <w:rFonts w:hint="eastAsia" w:hAnsi="黑体"/>
          <w:sz w:val="36"/>
          <w:szCs w:val="36"/>
        </w:rPr>
        <w:t>附件1</w:t>
      </w:r>
    </w:p>
    <w:p w14:paraId="1F14CB11">
      <w:pPr>
        <w:pStyle w:val="15"/>
        <w:jc w:val="center"/>
        <w:rPr>
          <w:rFonts w:ascii="Times New Roman" w:hAnsi="Times New Roman" w:cs="Times New Roman"/>
          <w:sz w:val="56"/>
          <w:szCs w:val="56"/>
        </w:rPr>
      </w:pPr>
    </w:p>
    <w:p w14:paraId="56807F82">
      <w:pPr>
        <w:pStyle w:val="15"/>
        <w:jc w:val="center"/>
        <w:rPr>
          <w:rFonts w:ascii="Times New Roman" w:hAnsi="Times New Roman" w:cs="Times New Roman"/>
          <w:sz w:val="84"/>
          <w:szCs w:val="84"/>
        </w:rPr>
      </w:pPr>
    </w:p>
    <w:p w14:paraId="15B7508C">
      <w:pPr>
        <w:pStyle w:val="15"/>
        <w:jc w:val="center"/>
        <w:rPr>
          <w:rFonts w:ascii="Times New Roman" w:hAnsi="Times New Roman" w:cs="Times New Roman"/>
          <w:sz w:val="84"/>
          <w:szCs w:val="84"/>
        </w:rPr>
      </w:pPr>
    </w:p>
    <w:p w14:paraId="66BC1AB2">
      <w:pPr>
        <w:pStyle w:val="15"/>
        <w:jc w:val="center"/>
        <w:rPr>
          <w:rFonts w:hint="eastAsia" w:ascii="Times New Roman" w:hAnsi="Times New Roman" w:eastAsia="方正小标宋简体" w:cs="Times New Roman"/>
          <w:sz w:val="72"/>
          <w:szCs w:val="72"/>
          <w:lang w:eastAsia="zh-CN"/>
        </w:rPr>
      </w:pPr>
      <w:r>
        <w:rPr>
          <w:rFonts w:ascii="Times New Roman" w:hAnsi="Times New Roman" w:eastAsia="方正小标宋简体" w:cs="Times New Roman"/>
          <w:sz w:val="72"/>
          <w:szCs w:val="72"/>
        </w:rPr>
        <w:t>2024年度</w:t>
      </w:r>
      <w:r>
        <w:rPr>
          <w:rFonts w:hint="eastAsia" w:ascii="Times New Roman" w:hAnsi="Times New Roman" w:eastAsia="方正小标宋简体" w:cs="Times New Roman"/>
          <w:sz w:val="72"/>
          <w:szCs w:val="72"/>
          <w:lang w:eastAsia="zh-CN"/>
        </w:rPr>
        <w:t>沅江市</w:t>
      </w:r>
    </w:p>
    <w:p w14:paraId="1276E8DC">
      <w:pPr>
        <w:pStyle w:val="15"/>
        <w:jc w:val="center"/>
        <w:rPr>
          <w:rFonts w:ascii="Times New Roman" w:hAnsi="Times New Roman" w:eastAsia="方正小标宋简体" w:cs="Times New Roman"/>
          <w:sz w:val="72"/>
          <w:szCs w:val="72"/>
        </w:rPr>
      </w:pPr>
      <w:r>
        <w:rPr>
          <w:rFonts w:hint="eastAsia" w:ascii="Times New Roman" w:hAnsi="Times New Roman" w:eastAsia="方正小标宋简体" w:cs="Times New Roman"/>
          <w:sz w:val="72"/>
          <w:szCs w:val="72"/>
          <w:lang w:eastAsia="zh-CN"/>
        </w:rPr>
        <w:t>库区移民事务中心</w:t>
      </w:r>
      <w:r>
        <w:rPr>
          <w:rFonts w:hint="eastAsia" w:ascii="Times New Roman" w:hAnsi="Times New Roman" w:eastAsia="方正小标宋简体" w:cs="Times New Roman"/>
          <w:sz w:val="72"/>
          <w:szCs w:val="72"/>
        </w:rPr>
        <w:t>部门决算</w:t>
      </w:r>
    </w:p>
    <w:p w14:paraId="731D7B67">
      <w:pPr>
        <w:pStyle w:val="15"/>
        <w:jc w:val="center"/>
        <w:rPr>
          <w:rFonts w:ascii="Times New Roman" w:hAnsi="Times New Roman" w:eastAsia="方正小标宋_GBK" w:cs="Times New Roman"/>
          <w:sz w:val="56"/>
          <w:szCs w:val="56"/>
        </w:rPr>
      </w:pPr>
    </w:p>
    <w:p w14:paraId="544DA828">
      <w:pPr>
        <w:pStyle w:val="15"/>
        <w:jc w:val="center"/>
        <w:rPr>
          <w:rFonts w:ascii="Times New Roman" w:hAnsi="Times New Roman" w:cs="Times New Roman"/>
          <w:sz w:val="56"/>
          <w:szCs w:val="56"/>
        </w:rPr>
      </w:pPr>
    </w:p>
    <w:p w14:paraId="40CC1721">
      <w:pPr>
        <w:pStyle w:val="15"/>
        <w:rPr>
          <w:rFonts w:ascii="Times New Roman" w:hAnsi="Times New Roman" w:cs="Times New Roman"/>
          <w:sz w:val="56"/>
          <w:szCs w:val="56"/>
        </w:rPr>
      </w:pPr>
    </w:p>
    <w:p w14:paraId="0EF46573">
      <w:pPr>
        <w:pStyle w:val="15"/>
        <w:jc w:val="center"/>
        <w:rPr>
          <w:rFonts w:ascii="Times New Roman" w:hAnsi="Times New Roman" w:cs="Times New Roman"/>
          <w:sz w:val="32"/>
          <w:szCs w:val="32"/>
        </w:rPr>
      </w:pPr>
    </w:p>
    <w:p w14:paraId="31B0C2EA">
      <w:pPr>
        <w:pStyle w:val="15"/>
        <w:jc w:val="center"/>
        <w:rPr>
          <w:rFonts w:ascii="Times New Roman" w:hAnsi="Times New Roman" w:cs="Times New Roman"/>
          <w:sz w:val="32"/>
          <w:szCs w:val="32"/>
        </w:rPr>
      </w:pPr>
    </w:p>
    <w:p w14:paraId="521BD82C">
      <w:pPr>
        <w:pStyle w:val="15"/>
        <w:jc w:val="center"/>
        <w:rPr>
          <w:rFonts w:ascii="Times New Roman" w:hAnsi="Times New Roman" w:cs="Times New Roman"/>
          <w:sz w:val="32"/>
          <w:szCs w:val="32"/>
        </w:rPr>
      </w:pPr>
    </w:p>
    <w:p w14:paraId="1A846C2F">
      <w:pPr>
        <w:pStyle w:val="15"/>
        <w:jc w:val="center"/>
        <w:rPr>
          <w:rFonts w:ascii="Times New Roman" w:hAnsi="Times New Roman" w:cs="Times New Roman"/>
          <w:sz w:val="32"/>
          <w:szCs w:val="32"/>
        </w:rPr>
      </w:pPr>
    </w:p>
    <w:p w14:paraId="47A860E0">
      <w:pPr>
        <w:pStyle w:val="15"/>
        <w:spacing w:line="600" w:lineRule="exact"/>
        <w:jc w:val="both"/>
        <w:rPr>
          <w:rFonts w:ascii="Times New Roman" w:hAnsi="Times New Roman" w:cs="Times New Roman"/>
          <w:b/>
          <w:sz w:val="36"/>
          <w:szCs w:val="28"/>
        </w:rPr>
        <w:sectPr>
          <w:footerReference r:id="rId3" w:type="default"/>
          <w:pgSz w:w="11906" w:h="16838"/>
          <w:pgMar w:top="1417" w:right="1588" w:bottom="1417" w:left="1588" w:header="851" w:footer="992" w:gutter="0"/>
          <w:pgNumType w:start="1"/>
          <w:cols w:space="425" w:num="1"/>
          <w:docGrid w:type="lines" w:linePitch="312" w:charSpace="0"/>
        </w:sectPr>
      </w:pPr>
    </w:p>
    <w:p w14:paraId="4F790373">
      <w:pPr>
        <w:pStyle w:val="15"/>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  录</w:t>
      </w:r>
    </w:p>
    <w:p w14:paraId="18F988D8">
      <w:pPr>
        <w:pStyle w:val="15"/>
        <w:spacing w:line="600" w:lineRule="exact"/>
        <w:jc w:val="center"/>
        <w:rPr>
          <w:rFonts w:ascii="Times New Roman" w:hAnsi="Times New Roman" w:cs="Times New Roman"/>
          <w:b/>
          <w:sz w:val="36"/>
          <w:szCs w:val="28"/>
        </w:rPr>
      </w:pPr>
    </w:p>
    <w:p w14:paraId="55486424">
      <w:pPr>
        <w:pStyle w:val="15"/>
        <w:spacing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第一部分 单位概况</w:t>
      </w:r>
    </w:p>
    <w:p w14:paraId="4E2294D5">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6C43B4F6">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14:paraId="0B120B93">
      <w:pPr>
        <w:pStyle w:val="15"/>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 部门决算表</w:t>
      </w:r>
    </w:p>
    <w:p w14:paraId="0A2FEE7F">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19067E27">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0D25B876">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6B7CD566">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7E351AAF">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75B3796F">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421BE3C7">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14:paraId="25209491">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14:paraId="3524CFE7">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14:paraId="594D0A01">
      <w:pPr>
        <w:pStyle w:val="15"/>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 部门决算情况说明</w:t>
      </w:r>
    </w:p>
    <w:p w14:paraId="6BABAEBE">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722300DF">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3CE897F6">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7B357FD6">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057DC083">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614B291E">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4" w:type="default"/>
          <w:pgSz w:w="11906" w:h="16838"/>
          <w:pgMar w:top="1417" w:right="1588" w:bottom="1417" w:left="1588" w:header="851" w:footer="992" w:gutter="0"/>
          <w:pgNumType w:start="1"/>
          <w:cols w:space="425" w:num="1"/>
          <w:docGrid w:type="lines" w:linePitch="312" w:charSpace="0"/>
        </w:sectPr>
      </w:pPr>
    </w:p>
    <w:p w14:paraId="09B84C78">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199972D8">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14:paraId="360AE9AC">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711227E4">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九、关于机关运行经费支出说明</w:t>
      </w:r>
    </w:p>
    <w:p w14:paraId="4AEF85D3">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十、一般性支出情况说明</w:t>
      </w:r>
    </w:p>
    <w:p w14:paraId="2618C95C">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十一、关于政府采购支出说明</w:t>
      </w:r>
    </w:p>
    <w:p w14:paraId="1229F1D8">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十二、关于国有资产占用情况说明</w:t>
      </w:r>
    </w:p>
    <w:p w14:paraId="46E24BA5">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十三、关于2024年度预算绩效管理情况的说明</w:t>
      </w:r>
    </w:p>
    <w:p w14:paraId="400906A8">
      <w:pPr>
        <w:pStyle w:val="15"/>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 名词解释</w:t>
      </w:r>
    </w:p>
    <w:p w14:paraId="0D5B16C6">
      <w:pPr>
        <w:pStyle w:val="15"/>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 附件</w:t>
      </w:r>
    </w:p>
    <w:p w14:paraId="55C6D78A">
      <w:pPr>
        <w:pStyle w:val="15"/>
        <w:spacing w:line="600" w:lineRule="exact"/>
        <w:rPr>
          <w:rFonts w:ascii="Times New Roman" w:hAnsi="Times New Roman" w:cs="Times New Roman"/>
          <w:bCs/>
          <w:sz w:val="28"/>
          <w:szCs w:val="28"/>
        </w:rPr>
      </w:pPr>
    </w:p>
    <w:p w14:paraId="73F4A502">
      <w:pPr>
        <w:jc w:val="center"/>
        <w:rPr>
          <w:rFonts w:ascii="Times New Roman" w:hAnsi="Times New Roman" w:cs="Times New Roman"/>
          <w:sz w:val="72"/>
          <w:szCs w:val="72"/>
        </w:rPr>
      </w:pPr>
    </w:p>
    <w:p w14:paraId="071CE3AF">
      <w:pPr>
        <w:jc w:val="center"/>
        <w:rPr>
          <w:rFonts w:ascii="Times New Roman" w:hAnsi="Times New Roman" w:cs="Times New Roman"/>
          <w:sz w:val="72"/>
          <w:szCs w:val="72"/>
        </w:rPr>
      </w:pPr>
    </w:p>
    <w:p w14:paraId="324A446D">
      <w:pPr>
        <w:jc w:val="center"/>
        <w:rPr>
          <w:rFonts w:ascii="Times New Roman" w:hAnsi="Times New Roman" w:cs="Times New Roman"/>
          <w:sz w:val="72"/>
          <w:szCs w:val="72"/>
        </w:rPr>
      </w:pPr>
    </w:p>
    <w:p w14:paraId="6D393233">
      <w:pPr>
        <w:pStyle w:val="9"/>
        <w:rPr>
          <w:rFonts w:ascii="Times New Roman" w:hAnsi="Times New Roman"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14:paraId="21F515F2">
      <w:pPr>
        <w:rPr>
          <w:rFonts w:ascii="Times New Roman" w:hAnsi="Times New Roman" w:eastAsia="方正小标宋_GBK" w:cs="Times New Roman"/>
          <w:sz w:val="72"/>
          <w:szCs w:val="72"/>
        </w:rPr>
      </w:pPr>
    </w:p>
    <w:p w14:paraId="4D1D6CEB">
      <w:pPr>
        <w:pStyle w:val="9"/>
        <w:rPr>
          <w:rFonts w:ascii="Times New Roman" w:hAnsi="Times New Roman" w:eastAsia="方正小标宋_GBK" w:cs="Times New Roman"/>
          <w:sz w:val="72"/>
          <w:szCs w:val="72"/>
        </w:rPr>
      </w:pPr>
    </w:p>
    <w:p w14:paraId="19CA7646">
      <w:pPr>
        <w:pStyle w:val="5"/>
        <w:rPr>
          <w:rFonts w:ascii="Times New Roman" w:hAnsi="Times New Roman" w:eastAsia="方正小标宋_GBK" w:cs="Times New Roman"/>
          <w:sz w:val="72"/>
          <w:szCs w:val="72"/>
        </w:rPr>
      </w:pPr>
    </w:p>
    <w:p w14:paraId="0C275CF7">
      <w:pPr>
        <w:rPr>
          <w:rFonts w:ascii="Times New Roman" w:hAnsi="Times New Roman" w:eastAsia="方正小标宋_GBK" w:cs="Times New Roman"/>
          <w:sz w:val="72"/>
          <w:szCs w:val="72"/>
        </w:rPr>
      </w:pPr>
    </w:p>
    <w:p w14:paraId="1097A744">
      <w:pPr>
        <w:pStyle w:val="9"/>
        <w:rPr>
          <w:rFonts w:ascii="Times New Roman" w:hAnsi="Times New Roman" w:eastAsia="方正小标宋_GBK" w:cs="Times New Roman"/>
          <w:sz w:val="72"/>
          <w:szCs w:val="72"/>
        </w:rPr>
      </w:pPr>
    </w:p>
    <w:p w14:paraId="6FE7DC01">
      <w:pPr>
        <w:pStyle w:val="5"/>
        <w:rPr>
          <w:rFonts w:ascii="Times New Roman" w:hAnsi="Times New Roman" w:eastAsia="方正小标宋_GBK" w:cs="Times New Roman"/>
          <w:sz w:val="72"/>
          <w:szCs w:val="72"/>
        </w:rPr>
      </w:pPr>
    </w:p>
    <w:p w14:paraId="10CAEDA3"/>
    <w:p w14:paraId="22BB01E2">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14:paraId="601FBFE5">
      <w:pPr>
        <w:pStyle w:val="15"/>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lang w:eastAsia="zh-CN"/>
        </w:rPr>
        <w:t>沅江市库区移民事务中心</w:t>
      </w:r>
      <w:r>
        <w:rPr>
          <w:rFonts w:ascii="Times New Roman" w:hAnsi="Times New Roman" w:eastAsia="方正小标宋_GBK" w:cs="Times New Roman"/>
          <w:sz w:val="52"/>
          <w:szCs w:val="52"/>
        </w:rPr>
        <w:t>单位概况</w:t>
      </w:r>
    </w:p>
    <w:p w14:paraId="585FDDBC">
      <w:pPr>
        <w:pStyle w:val="15"/>
        <w:spacing w:line="360" w:lineRule="auto"/>
        <w:jc w:val="center"/>
        <w:rPr>
          <w:rFonts w:ascii="Times New Roman" w:hAnsi="Times New Roman" w:eastAsia="方正小标宋_GBK" w:cs="Times New Roman"/>
          <w:sz w:val="52"/>
          <w:szCs w:val="52"/>
        </w:rPr>
      </w:pPr>
    </w:p>
    <w:p w14:paraId="3F09B03B">
      <w:pPr>
        <w:pStyle w:val="15"/>
        <w:spacing w:line="360" w:lineRule="auto"/>
        <w:jc w:val="center"/>
        <w:rPr>
          <w:rFonts w:ascii="Times New Roman" w:hAnsi="Times New Roman" w:eastAsia="方正小标宋_GBK" w:cs="Times New Roman"/>
          <w:sz w:val="52"/>
          <w:szCs w:val="52"/>
        </w:rPr>
      </w:pPr>
    </w:p>
    <w:p w14:paraId="6A27487B">
      <w:pPr>
        <w:pStyle w:val="15"/>
        <w:spacing w:line="360" w:lineRule="auto"/>
        <w:jc w:val="center"/>
        <w:rPr>
          <w:rFonts w:ascii="Times New Roman" w:hAnsi="Times New Roman" w:eastAsia="方正小标宋_GBK" w:cs="Times New Roman"/>
          <w:sz w:val="52"/>
          <w:szCs w:val="52"/>
        </w:rPr>
      </w:pPr>
    </w:p>
    <w:p w14:paraId="257D7361">
      <w:pPr>
        <w:pStyle w:val="15"/>
        <w:spacing w:line="360" w:lineRule="auto"/>
        <w:jc w:val="center"/>
        <w:rPr>
          <w:rFonts w:ascii="Times New Roman" w:hAnsi="Times New Roman" w:eastAsia="方正小标宋_GBK" w:cs="Times New Roman"/>
          <w:sz w:val="52"/>
          <w:szCs w:val="52"/>
        </w:rPr>
      </w:pPr>
    </w:p>
    <w:p w14:paraId="6D7E7031">
      <w:pPr>
        <w:pStyle w:val="15"/>
        <w:spacing w:line="360" w:lineRule="auto"/>
        <w:jc w:val="center"/>
        <w:rPr>
          <w:rFonts w:ascii="Times New Roman" w:hAnsi="Times New Roman" w:eastAsia="方正小标宋_GBK" w:cs="Times New Roman"/>
          <w:sz w:val="52"/>
          <w:szCs w:val="52"/>
        </w:rPr>
      </w:pPr>
    </w:p>
    <w:p w14:paraId="1C5F5259">
      <w:pPr>
        <w:pStyle w:val="15"/>
        <w:spacing w:line="360" w:lineRule="auto"/>
        <w:jc w:val="center"/>
        <w:rPr>
          <w:rFonts w:ascii="Times New Roman" w:hAnsi="Times New Roman" w:eastAsia="方正小标宋_GBK" w:cs="Times New Roman"/>
          <w:sz w:val="52"/>
          <w:szCs w:val="52"/>
        </w:rPr>
      </w:pPr>
    </w:p>
    <w:p w14:paraId="19B057B1">
      <w:pPr>
        <w:pStyle w:val="15"/>
        <w:spacing w:line="360" w:lineRule="auto"/>
        <w:jc w:val="center"/>
        <w:rPr>
          <w:rFonts w:ascii="Times New Roman" w:hAnsi="Times New Roman" w:eastAsia="方正小标宋_GBK" w:cs="Times New Roman"/>
          <w:sz w:val="52"/>
          <w:szCs w:val="52"/>
        </w:rPr>
      </w:pPr>
    </w:p>
    <w:p w14:paraId="4AE8D2A5">
      <w:pPr>
        <w:pStyle w:val="15"/>
        <w:spacing w:line="360" w:lineRule="auto"/>
        <w:jc w:val="center"/>
        <w:rPr>
          <w:rFonts w:ascii="Times New Roman" w:hAnsi="Times New Roman" w:eastAsia="方正小标宋_GBK" w:cs="Times New Roman"/>
          <w:sz w:val="52"/>
          <w:szCs w:val="52"/>
        </w:rPr>
      </w:pPr>
    </w:p>
    <w:p w14:paraId="50667981">
      <w:pPr>
        <w:pStyle w:val="15"/>
        <w:spacing w:line="360" w:lineRule="auto"/>
        <w:jc w:val="center"/>
        <w:rPr>
          <w:rFonts w:ascii="Times New Roman" w:hAnsi="Times New Roman" w:eastAsia="方正小标宋_GBK" w:cs="Times New Roman"/>
          <w:sz w:val="52"/>
          <w:szCs w:val="52"/>
        </w:rPr>
      </w:pPr>
    </w:p>
    <w:p w14:paraId="156A469A">
      <w:pPr>
        <w:pStyle w:val="5"/>
        <w:ind w:left="0" w:leftChars="0" w:firstLine="0" w:firstLineChars="0"/>
        <w:rPr>
          <w:rFonts w:ascii="Times New Roman" w:hAnsi="Times New Roman" w:cs="Times New Roman"/>
        </w:rPr>
      </w:pPr>
    </w:p>
    <w:p w14:paraId="043498DE">
      <w:pPr>
        <w:pStyle w:val="16"/>
        <w:spacing w:line="600" w:lineRule="exact"/>
        <w:ind w:firstLine="0"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14:paraId="6F80A741">
      <w:pPr>
        <w:pStyle w:val="10"/>
        <w:shd w:val="clear" w:color="auto" w:fill="FFFFFF"/>
        <w:spacing w:before="0" w:beforeAutospacing="0" w:after="0" w:afterAutospacing="0" w:line="560" w:lineRule="exact"/>
        <w:ind w:firstLine="480" w:firstLineChars="150"/>
        <w:rPr>
          <w:rFonts w:hint="eastAsia"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eastAsia="zh-CN"/>
        </w:rPr>
        <w:t>一</w:t>
      </w:r>
      <w:r>
        <w:rPr>
          <w:rFonts w:hint="eastAsia" w:ascii="仿宋_GB2312" w:eastAsia="仿宋_GB2312"/>
          <w:sz w:val="32"/>
          <w:szCs w:val="32"/>
        </w:rPr>
        <w:t>）贯彻执行党和国家有关大中型水库移民工作的方针、政策、法律、法规；</w:t>
      </w:r>
    </w:p>
    <w:p w14:paraId="28356ADC">
      <w:pPr>
        <w:pStyle w:val="10"/>
        <w:shd w:val="clear" w:color="auto" w:fill="FFFFFF"/>
        <w:spacing w:before="0" w:beforeAutospacing="0" w:after="0" w:afterAutospacing="0" w:line="560" w:lineRule="exact"/>
        <w:ind w:firstLine="480" w:firstLineChars="150"/>
        <w:rPr>
          <w:rFonts w:hint="eastAsia"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eastAsia="zh-CN"/>
        </w:rPr>
        <w:t>二</w:t>
      </w:r>
      <w:r>
        <w:rPr>
          <w:rFonts w:hint="eastAsia" w:ascii="仿宋_GB2312" w:eastAsia="仿宋_GB2312"/>
          <w:sz w:val="32"/>
          <w:szCs w:val="32"/>
        </w:rPr>
        <w:t>）履行全市大中型水库移民工作的管理、协调、监督、检查、指导职能；提出解决水库移民工作问题的意见及建议；</w:t>
      </w:r>
    </w:p>
    <w:p w14:paraId="4B864B91">
      <w:pPr>
        <w:pStyle w:val="10"/>
        <w:shd w:val="clear" w:color="auto" w:fill="FFFFFF"/>
        <w:spacing w:before="0" w:beforeAutospacing="0" w:after="0" w:afterAutospacing="0" w:line="560" w:lineRule="exact"/>
        <w:ind w:firstLine="480" w:firstLineChars="150"/>
        <w:rPr>
          <w:rFonts w:hint="eastAsia"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eastAsia="zh-CN"/>
        </w:rPr>
        <w:t>三</w:t>
      </w:r>
      <w:r>
        <w:rPr>
          <w:rFonts w:hint="eastAsia" w:ascii="仿宋_GB2312" w:eastAsia="仿宋_GB2312"/>
          <w:sz w:val="32"/>
          <w:szCs w:val="32"/>
        </w:rPr>
        <w:t>）负责全市大中型水库移民遗留问题的处理和大中型水库移民后期扶持工作；</w:t>
      </w:r>
    </w:p>
    <w:p w14:paraId="3AC1F985">
      <w:pPr>
        <w:pStyle w:val="10"/>
        <w:shd w:val="clear" w:color="auto" w:fill="FFFFFF"/>
        <w:spacing w:before="0" w:beforeAutospacing="0" w:after="0" w:afterAutospacing="0" w:line="560" w:lineRule="exact"/>
        <w:ind w:firstLine="480" w:firstLineChars="150"/>
        <w:rPr>
          <w:rFonts w:hint="eastAsia"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eastAsia="zh-CN"/>
        </w:rPr>
        <w:t>四</w:t>
      </w:r>
      <w:r>
        <w:rPr>
          <w:rFonts w:hint="eastAsia" w:ascii="仿宋_GB2312" w:eastAsia="仿宋_GB2312"/>
          <w:sz w:val="32"/>
          <w:szCs w:val="32"/>
        </w:rPr>
        <w:t>）负责全市水库库区、移民安置区的基础设施和生产开发项目规划的编报及组织实施工作；</w:t>
      </w:r>
    </w:p>
    <w:p w14:paraId="0C92390C">
      <w:pPr>
        <w:pStyle w:val="10"/>
        <w:shd w:val="clear" w:color="auto" w:fill="FFFFFF"/>
        <w:spacing w:before="0" w:beforeAutospacing="0" w:after="0" w:afterAutospacing="0" w:line="560" w:lineRule="exact"/>
        <w:ind w:firstLine="480" w:firstLineChars="150"/>
        <w:rPr>
          <w:rFonts w:hint="eastAsia"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eastAsia="zh-CN"/>
        </w:rPr>
        <w:t>五</w:t>
      </w:r>
      <w:r>
        <w:rPr>
          <w:rFonts w:hint="eastAsia" w:ascii="仿宋_GB2312" w:eastAsia="仿宋_GB2312"/>
          <w:sz w:val="32"/>
          <w:szCs w:val="32"/>
        </w:rPr>
        <w:t>）负责全市大中型水库移民资金的管理工作；</w:t>
      </w:r>
    </w:p>
    <w:p w14:paraId="242A6B58">
      <w:pPr>
        <w:pStyle w:val="10"/>
        <w:shd w:val="clear" w:color="auto" w:fill="FFFFFF"/>
        <w:spacing w:before="0" w:beforeAutospacing="0" w:after="0" w:afterAutospacing="0" w:line="560" w:lineRule="exact"/>
        <w:ind w:firstLine="480" w:firstLineChars="150"/>
        <w:rPr>
          <w:rFonts w:hint="eastAsia"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eastAsia="zh-CN"/>
        </w:rPr>
        <w:t>六</w:t>
      </w:r>
      <w:r>
        <w:rPr>
          <w:rFonts w:hint="eastAsia" w:ascii="仿宋_GB2312" w:eastAsia="仿宋_GB2312"/>
          <w:sz w:val="32"/>
          <w:szCs w:val="32"/>
        </w:rPr>
        <w:t>）负责处理与移民有关的来信来访问题；</w:t>
      </w:r>
    </w:p>
    <w:p w14:paraId="6AB24AE7">
      <w:pPr>
        <w:pStyle w:val="10"/>
        <w:shd w:val="clear" w:color="auto" w:fill="FFFFFF"/>
        <w:spacing w:before="0" w:beforeAutospacing="0" w:after="0" w:afterAutospacing="0" w:line="560" w:lineRule="exact"/>
        <w:ind w:firstLine="480" w:firstLineChars="150"/>
        <w:rPr>
          <w:rFonts w:hint="eastAsia"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eastAsia="zh-CN"/>
        </w:rPr>
        <w:t>七</w:t>
      </w:r>
      <w:r>
        <w:rPr>
          <w:rFonts w:hint="eastAsia" w:ascii="仿宋_GB2312" w:eastAsia="仿宋_GB2312"/>
          <w:sz w:val="32"/>
          <w:szCs w:val="32"/>
        </w:rPr>
        <w:t>）负责全市移民干部业务培训和移民实用技术与技能培训工作；</w:t>
      </w:r>
    </w:p>
    <w:p w14:paraId="70A9F36E">
      <w:pPr>
        <w:widowControl/>
        <w:spacing w:line="600" w:lineRule="exact"/>
        <w:ind w:firstLine="480" w:firstLineChars="150"/>
        <w:rPr>
          <w:rFonts w:hint="eastAsia"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eastAsia="zh-CN"/>
        </w:rPr>
        <w:t>八</w:t>
      </w:r>
      <w:r>
        <w:rPr>
          <w:rFonts w:hint="eastAsia" w:ascii="仿宋_GB2312" w:eastAsia="仿宋_GB2312"/>
          <w:sz w:val="32"/>
          <w:szCs w:val="32"/>
        </w:rPr>
        <w:t>）承办市人民政府及上级主管部门交办的其他事项</w:t>
      </w:r>
    </w:p>
    <w:p w14:paraId="2A2F6272">
      <w:pPr>
        <w:widowControl/>
        <w:spacing w:line="600" w:lineRule="exact"/>
        <w:ind w:firstLine="480" w:firstLineChars="150"/>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14:paraId="18E05885">
      <w:pPr>
        <w:widowControl/>
        <w:spacing w:line="600" w:lineRule="exact"/>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（一）内设机构设置。</w:t>
      </w:r>
    </w:p>
    <w:p w14:paraId="5F252D94">
      <w:pPr>
        <w:ind w:firstLine="640" w:firstLineChars="200"/>
        <w:rPr>
          <w:rFonts w:hint="eastAsia" w:ascii="仿宋_GB2312" w:eastAsia="仿宋_GB2312"/>
          <w:sz w:val="32"/>
          <w:szCs w:val="32"/>
        </w:rPr>
      </w:pPr>
      <w:r>
        <w:rPr>
          <w:rFonts w:hint="eastAsia" w:ascii="仿宋_GB2312" w:eastAsia="仿宋_GB2312"/>
          <w:sz w:val="32"/>
          <w:szCs w:val="32"/>
        </w:rPr>
        <w:t>根据编委核定，我中心内设股室 3 个，</w:t>
      </w:r>
      <w:r>
        <w:rPr>
          <w:rFonts w:hint="eastAsia" w:ascii="仿宋_GB2312" w:eastAsia="仿宋_GB2312"/>
          <w:sz w:val="32"/>
          <w:szCs w:val="32"/>
          <w:lang w:val="en-US" w:eastAsia="zh-CN"/>
        </w:rPr>
        <w:t>一个二级机构。</w:t>
      </w:r>
      <w:r>
        <w:rPr>
          <w:rFonts w:hint="eastAsia" w:ascii="仿宋_GB2312" w:eastAsia="仿宋_GB2312"/>
          <w:sz w:val="32"/>
          <w:szCs w:val="32"/>
        </w:rPr>
        <w:t>所属事业单位 1 个，全部纳入202</w:t>
      </w:r>
      <w:r>
        <w:rPr>
          <w:rFonts w:hint="default" w:ascii="仿宋_GB2312" w:eastAsia="仿宋_GB2312"/>
          <w:sz w:val="32"/>
          <w:szCs w:val="32"/>
          <w:lang w:val="en-US"/>
        </w:rPr>
        <w:t>4</w:t>
      </w:r>
      <w:r>
        <w:rPr>
          <w:rFonts w:hint="eastAsia" w:ascii="仿宋_GB2312" w:eastAsia="仿宋_GB2312"/>
          <w:sz w:val="32"/>
          <w:szCs w:val="32"/>
        </w:rPr>
        <w:t>年部门预算编制范围。</w:t>
      </w:r>
    </w:p>
    <w:p w14:paraId="2B32F247">
      <w:pPr>
        <w:pStyle w:val="10"/>
        <w:numPr>
          <w:ilvl w:val="0"/>
          <w:numId w:val="0"/>
        </w:numPr>
        <w:shd w:val="clear" w:color="auto" w:fill="FFFFFF"/>
        <w:spacing w:before="0" w:beforeAutospacing="0" w:after="0" w:afterAutospacing="0" w:line="560" w:lineRule="exact"/>
        <w:ind w:right="0" w:rightChars="0" w:firstLine="640" w:firstLineChars="200"/>
        <w:rPr>
          <w:rFonts w:hint="eastAsia" w:ascii="仿宋_GB2312" w:eastAsia="仿宋_GB2312"/>
          <w:sz w:val="32"/>
          <w:szCs w:val="32"/>
        </w:rPr>
      </w:pPr>
      <w:r>
        <w:rPr>
          <w:rFonts w:hint="eastAsia" w:ascii="仿宋_GB2312" w:eastAsia="仿宋_GB2312"/>
          <w:sz w:val="32"/>
          <w:szCs w:val="32"/>
        </w:rPr>
        <w:t>截止202</w:t>
      </w:r>
      <w:r>
        <w:rPr>
          <w:rFonts w:hint="default" w:ascii="仿宋_GB2312" w:eastAsia="仿宋_GB2312"/>
          <w:sz w:val="32"/>
          <w:szCs w:val="32"/>
          <w:lang w:val="en-US"/>
        </w:rPr>
        <w:t>4</w:t>
      </w:r>
      <w:r>
        <w:rPr>
          <w:rFonts w:hint="eastAsia" w:ascii="仿宋_GB2312" w:eastAsia="仿宋_GB2312"/>
          <w:sz w:val="32"/>
          <w:szCs w:val="32"/>
        </w:rPr>
        <w:t>年1月（预算编制时间），我单位纳入部门预算编制23人。其中：实有在职人员1</w:t>
      </w:r>
      <w:r>
        <w:rPr>
          <w:rFonts w:hint="eastAsia" w:ascii="仿宋_GB2312" w:eastAsia="仿宋_GB2312"/>
          <w:sz w:val="32"/>
          <w:szCs w:val="32"/>
          <w:lang w:val="en-US" w:eastAsia="zh-CN"/>
        </w:rPr>
        <w:t>4</w:t>
      </w:r>
      <w:r>
        <w:rPr>
          <w:rFonts w:hint="eastAsia" w:ascii="仿宋_GB2312" w:eastAsia="仿宋_GB2312"/>
          <w:sz w:val="32"/>
          <w:szCs w:val="32"/>
        </w:rPr>
        <w:t>人，退伍人员</w:t>
      </w:r>
      <w:r>
        <w:rPr>
          <w:rFonts w:hint="eastAsia" w:ascii="仿宋_GB2312" w:eastAsia="仿宋_GB2312"/>
          <w:sz w:val="32"/>
          <w:szCs w:val="32"/>
          <w:lang w:val="en-US" w:eastAsia="zh-CN"/>
        </w:rPr>
        <w:t>5</w:t>
      </w:r>
      <w:r>
        <w:rPr>
          <w:rFonts w:hint="eastAsia" w:ascii="仿宋_GB2312" w:eastAsia="仿宋_GB2312"/>
          <w:sz w:val="32"/>
          <w:szCs w:val="32"/>
        </w:rPr>
        <w:t xml:space="preserve">人，离退休人员 </w:t>
      </w:r>
      <w:r>
        <w:rPr>
          <w:rFonts w:hint="eastAsia" w:ascii="仿宋_GB2312" w:eastAsia="仿宋_GB2312"/>
          <w:sz w:val="32"/>
          <w:szCs w:val="32"/>
          <w:lang w:val="en-US" w:eastAsia="zh-CN"/>
        </w:rPr>
        <w:t>9</w:t>
      </w:r>
      <w:r>
        <w:rPr>
          <w:rFonts w:hint="eastAsia" w:ascii="仿宋_GB2312" w:eastAsia="仿宋_GB2312"/>
          <w:sz w:val="32"/>
          <w:szCs w:val="32"/>
        </w:rPr>
        <w:t>人 。</w:t>
      </w:r>
    </w:p>
    <w:p w14:paraId="0A1875E0">
      <w:pPr>
        <w:pStyle w:val="10"/>
        <w:numPr>
          <w:ilvl w:val="0"/>
          <w:numId w:val="0"/>
        </w:numPr>
        <w:shd w:val="clear" w:color="auto" w:fill="FFFFFF"/>
        <w:spacing w:before="0" w:beforeAutospacing="0" w:after="0" w:afterAutospacing="0" w:line="560" w:lineRule="exact"/>
        <w:ind w:right="0" w:rightChars="0" w:firstLine="640" w:firstLineChars="200"/>
        <w:rPr>
          <w:rFonts w:hint="eastAsia" w:ascii="仿宋_GB2312" w:eastAsia="仿宋_GB2312"/>
          <w:sz w:val="32"/>
          <w:szCs w:val="32"/>
        </w:rPr>
      </w:pPr>
      <w:r>
        <w:rPr>
          <w:rFonts w:hint="eastAsia" w:ascii="仿宋_GB2312" w:eastAsia="仿宋_GB2312"/>
          <w:sz w:val="32"/>
          <w:szCs w:val="32"/>
        </w:rPr>
        <w:t>内设股室分别是办公室、工程股、财务股。</w:t>
      </w:r>
    </w:p>
    <w:p w14:paraId="4BB55956">
      <w:pPr>
        <w:pStyle w:val="10"/>
        <w:shd w:val="clear" w:color="auto" w:fill="FFFFFF"/>
        <w:spacing w:before="0" w:beforeAutospacing="0" w:after="0" w:afterAutospacing="0" w:line="560" w:lineRule="exact"/>
        <w:ind w:firstLine="640" w:firstLineChars="200"/>
        <w:rPr>
          <w:rFonts w:hint="eastAsia" w:ascii="仿宋_GB2312" w:eastAsia="仿宋_GB2312"/>
          <w:sz w:val="32"/>
          <w:szCs w:val="32"/>
        </w:rPr>
      </w:pPr>
      <w:r>
        <w:rPr>
          <w:rFonts w:hint="eastAsia" w:ascii="仿宋_GB2312" w:eastAsia="仿宋_GB2312"/>
          <w:sz w:val="32"/>
          <w:szCs w:val="32"/>
        </w:rPr>
        <w:t>办公室的工作职责为协助领导处理机关日常工作，负责机关文电、会务、保密、档案、文明创建、创卫、机关事务综合协调等工作。负责机关移民工作情况综合、调研、对外宣传、政务督办、建议提案办理，总结推广移民工作典型经验。负责机关行政后勤、固定资产管理、安全保卫等工作。负责机关组织人事、干部教育培训、老干、计划生育等工作。负责机关党的建设、政治学习、机关考勤工作。负责移民信访、移民政策法规宣传、依法治国、依法行政工作。负责机关党风廉政建设和机关作风建设工作。负责机关权力运行、政务、党务公开工负责机关绩效考核工作。</w:t>
      </w:r>
    </w:p>
    <w:p w14:paraId="12EFDCA2">
      <w:pPr>
        <w:pStyle w:val="10"/>
        <w:shd w:val="clear" w:color="auto" w:fill="FFFFFF"/>
        <w:spacing w:before="0" w:beforeAutospacing="0" w:after="0" w:afterAutospacing="0" w:line="560" w:lineRule="exact"/>
        <w:ind w:firstLine="640" w:firstLineChars="200"/>
        <w:rPr>
          <w:rFonts w:hint="eastAsia" w:ascii="仿宋_GB2312" w:eastAsia="仿宋_GB2312"/>
          <w:sz w:val="32"/>
          <w:szCs w:val="32"/>
        </w:rPr>
      </w:pPr>
      <w:r>
        <w:rPr>
          <w:rFonts w:hint="eastAsia" w:ascii="仿宋_GB2312" w:eastAsia="仿宋_GB2312"/>
          <w:sz w:val="32"/>
          <w:szCs w:val="32"/>
        </w:rPr>
        <w:t>财务股的工作职责为负责机关财务工作。负责指导全市移民系统财务会计工作，并会同有关部门拟定全市移民资金管理、监督办法并组织实施。负责全市移民资金监督和管理。负责移民后期扶持政策实施稽察工作，负责机关统计和招商引资、立项争资工作。负责“互联网+监督”相关工作。负责移民资金绩效评价工作。</w:t>
      </w:r>
    </w:p>
    <w:p w14:paraId="61552155">
      <w:pPr>
        <w:pStyle w:val="10"/>
        <w:shd w:val="clear" w:color="auto" w:fill="FFFFFF"/>
        <w:spacing w:before="0" w:beforeAutospacing="0" w:after="0" w:afterAutospacing="0" w:line="560" w:lineRule="exact"/>
        <w:ind w:firstLine="640" w:firstLineChars="200"/>
        <w:rPr>
          <w:rFonts w:hint="eastAsia" w:ascii="仿宋_GB2312" w:eastAsia="仿宋_GB2312"/>
          <w:sz w:val="32"/>
          <w:szCs w:val="32"/>
        </w:rPr>
      </w:pPr>
      <w:r>
        <w:rPr>
          <w:rFonts w:hint="eastAsia" w:ascii="仿宋_GB2312" w:eastAsia="仿宋_GB2312"/>
          <w:sz w:val="32"/>
          <w:szCs w:val="32"/>
        </w:rPr>
        <w:t>工程股的工作职责为负责库区和移民安置区基础设施建设及经济发展中长期规划、水库移民后期扶持规划和年度计划编制工作。负责组织移民工程项目的规划、论证、设计及方案的审查、审批、上报工作。负责全市移民干部业务培训和移民实用技术与技能培训工作；承办市人民政府及上级主管部门交办的其他事项。 </w:t>
      </w:r>
    </w:p>
    <w:p w14:paraId="7B2F9819">
      <w:pPr>
        <w:pStyle w:val="10"/>
        <w:shd w:val="clear" w:color="auto" w:fill="FFFFFF"/>
        <w:spacing w:before="0" w:beforeAutospacing="0" w:after="0" w:afterAutospacing="0"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内设二级机构：沅江市库区移民资源中心</w:t>
      </w:r>
    </w:p>
    <w:p w14:paraId="61E78101">
      <w:pPr>
        <w:widowControl/>
        <w:numPr>
          <w:ilvl w:val="0"/>
          <w:numId w:val="1"/>
        </w:numPr>
        <w:spacing w:line="600" w:lineRule="exact"/>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决算单位构成。</w:t>
      </w:r>
    </w:p>
    <w:p w14:paraId="109DCDE5">
      <w:pPr>
        <w:widowControl/>
        <w:numPr>
          <w:ilvl w:val="0"/>
          <w:numId w:val="0"/>
        </w:numPr>
        <w:spacing w:line="600" w:lineRule="exact"/>
        <w:ind w:firstLine="640" w:firstLineChars="200"/>
        <w:rPr>
          <w:rFonts w:hint="eastAsia" w:ascii="仿宋_GB2312" w:hAnsi="Calibri" w:eastAsia="仿宋_GB2312" w:cs="Times New Roman"/>
          <w:kern w:val="0"/>
          <w:sz w:val="32"/>
          <w:szCs w:val="32"/>
          <w:lang w:val="en-US" w:eastAsia="zh-CN" w:bidi="ar"/>
        </w:rPr>
      </w:pPr>
      <w:r>
        <w:rPr>
          <w:rFonts w:hint="eastAsia" w:ascii="仿宋_GB2312" w:hAnsi="Calibri" w:eastAsia="仿宋_GB2312" w:cs="Times New Roman"/>
          <w:kern w:val="0"/>
          <w:sz w:val="32"/>
          <w:szCs w:val="32"/>
          <w:lang w:val="en-US" w:eastAsia="zh-CN" w:bidi="ar"/>
        </w:rPr>
        <w:t>沅江市库区移民事务中心</w:t>
      </w:r>
      <w:r>
        <w:rPr>
          <w:rFonts w:ascii="Times New Roman" w:hAnsi="Times New Roman" w:eastAsia="仿宋_GB2312" w:cs="Times New Roman"/>
          <w:bCs/>
          <w:kern w:val="0"/>
          <w:sz w:val="32"/>
          <w:szCs w:val="32"/>
        </w:rPr>
        <w:t>决算单位构成</w:t>
      </w:r>
      <w:r>
        <w:rPr>
          <w:rFonts w:hint="eastAsia" w:ascii="仿宋_GB2312" w:hAnsi="Calibri" w:eastAsia="仿宋_GB2312" w:cs="Times New Roman"/>
          <w:kern w:val="0"/>
          <w:sz w:val="32"/>
          <w:szCs w:val="32"/>
          <w:lang w:val="en-US" w:eastAsia="zh-CN" w:bidi="ar"/>
        </w:rPr>
        <w:t>为沅江市库区移民事务中心本级。</w:t>
      </w:r>
    </w:p>
    <w:p w14:paraId="725BB841">
      <w:pPr>
        <w:pStyle w:val="9"/>
      </w:pPr>
    </w:p>
    <w:p w14:paraId="107FEDAE">
      <w:pPr>
        <w:widowControl/>
        <w:numPr>
          <w:ilvl w:val="0"/>
          <w:numId w:val="1"/>
        </w:numPr>
        <w:spacing w:line="600" w:lineRule="exact"/>
        <w:rPr>
          <w:rFonts w:ascii="Times New Roman" w:hAnsi="Times New Roman" w:eastAsia="黑体" w:cs="Times New Roman"/>
          <w:sz w:val="28"/>
          <w:szCs w:val="28"/>
        </w:rPr>
        <w:sectPr>
          <w:footerReference r:id="rId6" w:type="default"/>
          <w:pgSz w:w="11906" w:h="16838"/>
          <w:pgMar w:top="1417" w:right="1134" w:bottom="1417" w:left="1134" w:header="851" w:footer="992" w:gutter="0"/>
          <w:cols w:space="425" w:num="1"/>
          <w:docGrid w:type="lines" w:linePitch="312" w:charSpace="0"/>
        </w:sectPr>
      </w:pPr>
      <w:r>
        <w:rPr>
          <w:rFonts w:hint="eastAsia" w:ascii="Times New Roman" w:hAnsi="Times New Roman" w:eastAsia="仿宋_GB2312" w:cs="Times New Roman"/>
          <w:bCs/>
          <w:kern w:val="0"/>
          <w:sz w:val="32"/>
          <w:szCs w:val="32"/>
          <w:lang w:eastAsia="zh-CN"/>
        </w:rPr>
        <w:t>沅江市库区移民事务中心</w:t>
      </w:r>
      <w:r>
        <w:rPr>
          <w:rFonts w:hint="eastAsia" w:ascii="Times New Roman" w:hAnsi="Times New Roman" w:eastAsia="仿宋_GB2312" w:cs="Times New Roman"/>
          <w:bCs/>
          <w:kern w:val="0"/>
          <w:sz w:val="32"/>
          <w:szCs w:val="32"/>
          <w:lang w:val="en-US" w:eastAsia="zh-CN"/>
        </w:rPr>
        <w:t>2</w:t>
      </w:r>
      <w:r>
        <w:rPr>
          <w:rFonts w:ascii="Times New Roman" w:hAnsi="Times New Roman" w:eastAsia="仿宋_GB2312" w:cs="Times New Roman"/>
          <w:bCs/>
          <w:kern w:val="0"/>
          <w:sz w:val="32"/>
          <w:szCs w:val="32"/>
        </w:rPr>
        <w:t>024年部门决算汇总公开单位构成包括：</w:t>
      </w:r>
      <w:r>
        <w:rPr>
          <w:rFonts w:hint="eastAsia" w:ascii="Times New Roman" w:hAnsi="Times New Roman" w:eastAsia="仿宋_GB2312" w:cs="Times New Roman"/>
          <w:bCs/>
          <w:kern w:val="0"/>
          <w:sz w:val="32"/>
          <w:szCs w:val="32"/>
          <w:lang w:eastAsia="zh-CN"/>
        </w:rPr>
        <w:t>沅江市库区移民事务中心</w:t>
      </w:r>
    </w:p>
    <w:p w14:paraId="20D6C97F"/>
    <w:p w14:paraId="1113AA01">
      <w:pPr>
        <w:pStyle w:val="9"/>
      </w:pPr>
    </w:p>
    <w:p w14:paraId="5487D462">
      <w:pPr>
        <w:pStyle w:val="5"/>
      </w:pPr>
    </w:p>
    <w:p w14:paraId="5821BBB2"/>
    <w:p w14:paraId="781F9F86">
      <w:pPr>
        <w:pStyle w:val="9"/>
      </w:pPr>
    </w:p>
    <w:p w14:paraId="4CA66082">
      <w:pPr>
        <w:pStyle w:val="5"/>
      </w:pPr>
    </w:p>
    <w:p w14:paraId="7C82F3EA">
      <w:pPr>
        <w:pStyle w:val="9"/>
      </w:pPr>
    </w:p>
    <w:p w14:paraId="5E35DD1A">
      <w:pPr>
        <w:pStyle w:val="9"/>
      </w:pPr>
    </w:p>
    <w:p w14:paraId="7317DFA1"/>
    <w:p w14:paraId="2496CD00">
      <w:pPr>
        <w:pStyle w:val="15"/>
        <w:numPr>
          <w:ilvl w:val="0"/>
          <w:numId w:val="0"/>
        </w:numPr>
        <w:jc w:val="center"/>
        <w:rPr>
          <w:rFonts w:ascii="Times New Roman" w:hAnsi="Times New Roman" w:eastAsia="方正小标宋_GBK" w:cs="Times New Roman"/>
          <w:sz w:val="52"/>
          <w:szCs w:val="52"/>
        </w:rPr>
      </w:pPr>
      <w:r>
        <w:rPr>
          <w:rFonts w:hint="eastAsia" w:ascii="Times New Roman" w:hAnsi="Times New Roman" w:eastAsia="方正小标宋_GBK" w:cs="Times New Roman"/>
          <w:color w:val="000000"/>
          <w:sz w:val="52"/>
          <w:szCs w:val="52"/>
          <w:lang w:val="en-US" w:eastAsia="zh-CN" w:bidi="ar-SA"/>
        </w:rPr>
        <w:t>第二部分</w:t>
      </w:r>
      <w:r>
        <w:rPr>
          <w:rFonts w:ascii="Times New Roman" w:hAnsi="Times New Roman" w:eastAsia="方正小标宋_GBK" w:cs="Times New Roman"/>
          <w:sz w:val="52"/>
          <w:szCs w:val="52"/>
        </w:rPr>
        <w:t xml:space="preserve">   </w:t>
      </w:r>
    </w:p>
    <w:p w14:paraId="642B8916">
      <w:pPr>
        <w:pStyle w:val="15"/>
        <w:numPr>
          <w:ilvl w:val="0"/>
          <w:numId w:val="0"/>
        </w:numPr>
        <w:jc w:val="center"/>
        <w:rPr>
          <w:rFonts w:hint="eastAsia" w:ascii="Times New Roman" w:hAnsi="Times New Roman" w:eastAsia="方正小标宋_GBK" w:cs="Times New Roman"/>
          <w:sz w:val="52"/>
          <w:szCs w:val="52"/>
          <w:lang w:val="en-US" w:eastAsia="zh-CN"/>
        </w:rPr>
      </w:pPr>
      <w:r>
        <w:rPr>
          <w:rFonts w:ascii="Times New Roman" w:hAnsi="Times New Roman" w:eastAsia="方正小标宋_GBK" w:cs="Times New Roman"/>
          <w:sz w:val="52"/>
          <w:szCs w:val="52"/>
        </w:rPr>
        <w:t>部门决算</w:t>
      </w:r>
      <w:r>
        <w:rPr>
          <w:rFonts w:hint="eastAsia" w:ascii="Times New Roman" w:hAnsi="Times New Roman" w:eastAsia="方正小标宋_GBK" w:cs="Times New Roman"/>
          <w:sz w:val="52"/>
          <w:szCs w:val="52"/>
          <w:lang w:val="en-US" w:eastAsia="zh-CN"/>
        </w:rPr>
        <w:t>表</w:t>
      </w:r>
    </w:p>
    <w:p w14:paraId="23341248">
      <w:pPr>
        <w:pStyle w:val="15"/>
        <w:numPr>
          <w:ilvl w:val="0"/>
          <w:numId w:val="0"/>
        </w:numPr>
        <w:jc w:val="center"/>
        <w:rPr>
          <w:rFonts w:ascii="Times New Roman" w:hAnsi="Times New Roman" w:eastAsia="黑体" w:cs="Times New Roman"/>
          <w:color w:val="000000"/>
          <w:kern w:val="0"/>
          <w:sz w:val="36"/>
          <w:szCs w:val="36"/>
          <w:lang w:bidi="ar"/>
        </w:rPr>
      </w:pPr>
    </w:p>
    <w:p w14:paraId="3078A761">
      <w:pPr>
        <w:pStyle w:val="15"/>
        <w:numPr>
          <w:ilvl w:val="0"/>
          <w:numId w:val="0"/>
        </w:numPr>
        <w:jc w:val="center"/>
        <w:rPr>
          <w:rFonts w:ascii="Times New Roman" w:hAnsi="Times New Roman" w:eastAsia="黑体" w:cs="Times New Roman"/>
          <w:color w:val="000000"/>
          <w:kern w:val="0"/>
          <w:sz w:val="36"/>
          <w:szCs w:val="36"/>
          <w:lang w:bidi="ar"/>
        </w:rPr>
      </w:pPr>
    </w:p>
    <w:p w14:paraId="2F16CBF8">
      <w:pPr>
        <w:pStyle w:val="15"/>
        <w:numPr>
          <w:ilvl w:val="0"/>
          <w:numId w:val="0"/>
        </w:numPr>
        <w:jc w:val="center"/>
        <w:rPr>
          <w:rFonts w:ascii="Times New Roman" w:hAnsi="Times New Roman" w:eastAsia="黑体" w:cs="Times New Roman"/>
          <w:color w:val="000000"/>
          <w:kern w:val="0"/>
          <w:sz w:val="36"/>
          <w:szCs w:val="36"/>
          <w:lang w:bidi="ar"/>
        </w:rPr>
      </w:pPr>
    </w:p>
    <w:p w14:paraId="0B800D93">
      <w:pPr>
        <w:pStyle w:val="15"/>
        <w:numPr>
          <w:ilvl w:val="0"/>
          <w:numId w:val="0"/>
        </w:numPr>
        <w:jc w:val="center"/>
        <w:rPr>
          <w:rFonts w:ascii="Times New Roman" w:hAnsi="Times New Roman" w:eastAsia="黑体" w:cs="Times New Roman"/>
          <w:color w:val="000000"/>
          <w:kern w:val="0"/>
          <w:sz w:val="36"/>
          <w:szCs w:val="36"/>
          <w:lang w:bidi="ar"/>
        </w:rPr>
      </w:pPr>
    </w:p>
    <w:p w14:paraId="766ECF25">
      <w:pPr>
        <w:pStyle w:val="15"/>
        <w:numPr>
          <w:ilvl w:val="0"/>
          <w:numId w:val="0"/>
        </w:numPr>
        <w:jc w:val="both"/>
        <w:rPr>
          <w:rFonts w:ascii="Times New Roman" w:hAnsi="Times New Roman" w:eastAsia="黑体" w:cs="Times New Roman"/>
          <w:color w:val="000000"/>
          <w:kern w:val="0"/>
          <w:sz w:val="36"/>
          <w:szCs w:val="36"/>
          <w:lang w:bidi="ar"/>
        </w:rPr>
      </w:pPr>
    </w:p>
    <w:p w14:paraId="1B85BDBB">
      <w:pP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br w:type="page"/>
      </w:r>
    </w:p>
    <w:p w14:paraId="2513E007">
      <w:pPr>
        <w:pStyle w:val="15"/>
        <w:numPr>
          <w:ilvl w:val="0"/>
          <w:numId w:val="0"/>
        </w:numPr>
        <w:jc w:val="center"/>
        <w:rPr>
          <w:rFonts w:hint="eastAsia" w:ascii="Times New Roman" w:hAnsi="Times New Roman" w:cs="Times New Roman"/>
          <w:color w:val="000000"/>
          <w:kern w:val="0"/>
          <w:sz w:val="36"/>
          <w:szCs w:val="36"/>
          <w:lang w:val="en-US" w:eastAsia="zh-CN" w:bidi="ar"/>
        </w:rPr>
      </w:pPr>
      <w:bookmarkStart w:id="40" w:name="_GoBack"/>
      <w:bookmarkEnd w:id="40"/>
      <w:r>
        <w:rPr>
          <w:rFonts w:ascii="Times New Roman" w:hAnsi="Times New Roman" w:eastAsia="黑体" w:cs="Times New Roman"/>
          <w:color w:val="000000"/>
          <w:kern w:val="0"/>
          <w:sz w:val="36"/>
          <w:szCs w:val="36"/>
          <w:lang w:bidi="ar"/>
        </w:rPr>
        <w:t>收入支</w:t>
      </w:r>
      <w:r>
        <w:rPr>
          <w:rFonts w:hint="eastAsia" w:ascii="Times New Roman" w:hAnsi="Times New Roman" w:cs="Times New Roman"/>
          <w:color w:val="000000"/>
          <w:kern w:val="0"/>
          <w:sz w:val="36"/>
          <w:szCs w:val="36"/>
          <w:lang w:val="en-US" w:eastAsia="zh-CN" w:bidi="ar"/>
        </w:rPr>
        <w:t>出决算表</w:t>
      </w:r>
    </w:p>
    <w:p w14:paraId="0EF929F1">
      <w:pPr>
        <w:pStyle w:val="15"/>
        <w:numPr>
          <w:ilvl w:val="0"/>
          <w:numId w:val="0"/>
        </w:numPr>
        <w:jc w:val="center"/>
        <w:rPr>
          <w:rFonts w:hint="default" w:ascii="Times New Roman" w:hAnsi="Times New Roman" w:cs="Times New Roman"/>
          <w:color w:val="000000"/>
          <w:kern w:val="0"/>
          <w:sz w:val="36"/>
          <w:szCs w:val="36"/>
          <w:lang w:val="en-US" w:eastAsia="zh-CN" w:bidi="ar"/>
        </w:rPr>
      </w:pPr>
    </w:p>
    <w:p w14:paraId="538A9846">
      <w:pPr>
        <w:pStyle w:val="15"/>
        <w:numPr>
          <w:ilvl w:val="0"/>
          <w:numId w:val="0"/>
        </w:numPr>
        <w:jc w:val="center"/>
        <w:rPr>
          <w:rFonts w:hint="default"/>
          <w:lang w:val="en-US" w:eastAsia="zh-CN"/>
        </w:rPr>
      </w:pPr>
      <w:r>
        <w:rPr>
          <w:rFonts w:hint="eastAsia"/>
          <w:lang w:val="en-US" w:eastAsia="zh-CN"/>
        </w:rPr>
        <w:object>
          <v:shape id="_x0000_i1025" o:spt="75" type="#_x0000_t75" style="height:400.85pt;width:593.55pt;" o:ole="t" filled="f" o:preferrelative="t" stroked="f" coordsize="21600,21600">
            <v:path/>
            <v:fill on="f" focussize="0,0"/>
            <v:stroke on="f"/>
            <v:imagedata r:id="rId9" o:title=""/>
            <o:lock v:ext="edit" aspectratio="f"/>
            <w10:wrap type="none"/>
            <w10:anchorlock/>
          </v:shape>
          <o:OLEObject Type="Embed" ProgID="Excel.Sheet.12" ShapeID="_x0000_i1025" DrawAspect="Content" ObjectID="_1468075725" r:id="rId8">
            <o:LockedField>false</o:LockedField>
          </o:OLEObject>
        </w:object>
      </w:r>
      <w:r>
        <w:rPr>
          <w:rFonts w:hint="eastAsia"/>
          <w:lang w:val="en-US" w:eastAsia="zh-CN"/>
        </w:rPr>
        <w:t xml:space="preserve">                                                   </w:t>
      </w:r>
    </w:p>
    <w:p w14:paraId="32E5581E">
      <w:pPr>
        <w:ind w:firstLine="5760" w:firstLineChars="1600"/>
        <w:jc w:val="both"/>
        <w:rPr>
          <w:rFonts w:hint="eastAsia" w:eastAsia="黑体"/>
          <w:lang w:val="en-US" w:eastAsia="zh-CN"/>
        </w:rPr>
      </w:pPr>
      <w:r>
        <w:rPr>
          <w:rFonts w:ascii="Times New Roman" w:hAnsi="Times New Roman" w:eastAsia="黑体" w:cs="Times New Roman"/>
          <w:color w:val="000000"/>
          <w:kern w:val="0"/>
          <w:sz w:val="36"/>
          <w:szCs w:val="36"/>
          <w:lang w:bidi="ar"/>
        </w:rPr>
        <w:t>收入决算</w:t>
      </w:r>
      <w:r>
        <w:rPr>
          <w:rFonts w:hint="eastAsia" w:ascii="Times New Roman" w:hAnsi="Times New Roman" w:eastAsia="黑体" w:cs="Times New Roman"/>
          <w:color w:val="000000"/>
          <w:kern w:val="0"/>
          <w:sz w:val="36"/>
          <w:szCs w:val="36"/>
          <w:lang w:val="en-US" w:eastAsia="zh-CN" w:bidi="ar"/>
        </w:rPr>
        <w:t>表</w:t>
      </w:r>
    </w:p>
    <w:p w14:paraId="45DE4F61">
      <w:pPr>
        <w:rPr>
          <w:rFonts w:hint="eastAsia"/>
          <w:lang w:val="en-US" w:eastAsia="zh-CN"/>
        </w:rPr>
      </w:pPr>
      <w:r>
        <w:rPr>
          <w:rFonts w:hint="eastAsia"/>
          <w:lang w:val="en-US" w:eastAsia="zh-CN"/>
        </w:rPr>
        <w:t xml:space="preserve">  </w:t>
      </w:r>
    </w:p>
    <w:p w14:paraId="26B5C87E">
      <w:pPr>
        <w:pStyle w:val="9"/>
        <w:rPr>
          <w:rFonts w:hint="default"/>
          <w:lang w:val="en-US" w:eastAsia="zh-CN"/>
        </w:rPr>
      </w:pPr>
    </w:p>
    <w:p w14:paraId="43686CDA">
      <w:pPr>
        <w:pStyle w:val="5"/>
        <w:rPr>
          <w:rFonts w:hint="default"/>
          <w:lang w:val="en-US" w:eastAsia="zh-CN"/>
        </w:rPr>
      </w:pPr>
    </w:p>
    <w:p w14:paraId="61FFCDF6">
      <w:pPr>
        <w:rPr>
          <w:rFonts w:ascii="Times New Roman" w:hAnsi="Times New Roman" w:eastAsia="黑体" w:cs="Times New Roman"/>
          <w:color w:val="000000"/>
          <w:kern w:val="0"/>
          <w:sz w:val="36"/>
          <w:szCs w:val="36"/>
          <w:lang w:bidi="ar"/>
        </w:rPr>
      </w:pPr>
      <w:r>
        <w:rPr>
          <w:rFonts w:hint="eastAsia"/>
          <w:lang w:val="en-US" w:eastAsia="zh-CN"/>
        </w:rPr>
        <w:t xml:space="preserve">    </w:t>
      </w:r>
      <w:r>
        <w:rPr>
          <w:rFonts w:ascii="Times New Roman" w:hAnsi="Times New Roman" w:eastAsia="黑体" w:cs="Times New Roman"/>
          <w:color w:val="000000"/>
          <w:kern w:val="0"/>
          <w:sz w:val="36"/>
          <w:szCs w:val="36"/>
          <w:lang w:bidi="ar"/>
        </w:rPr>
        <w:object>
          <v:shape id="_x0000_i1026" o:spt="75" type="#_x0000_t75" style="height:252.75pt;width:696.75pt;" o:ole="t" filled="f" o:preferrelative="t" stroked="f" coordsize="21600,21600">
            <v:path/>
            <v:fill on="f" focussize="0,0"/>
            <v:stroke on="f"/>
            <v:imagedata r:id="rId11" o:title=""/>
            <o:lock v:ext="edit" aspectratio="f"/>
            <w10:wrap type="none"/>
            <w10:anchorlock/>
          </v:shape>
          <o:OLEObject Type="Embed" ProgID="Excel.Sheet.12" ShapeID="_x0000_i1026" DrawAspect="Content" ObjectID="_1468075726" r:id="rId10">
            <o:LockedField>false</o:LockedField>
          </o:OLEObject>
        </w:object>
      </w:r>
    </w:p>
    <w:p w14:paraId="0E7B717F">
      <w:pPr>
        <w:pStyle w:val="9"/>
        <w:rPr>
          <w:rFonts w:ascii="Times New Roman" w:hAnsi="Times New Roman" w:eastAsia="黑体" w:cs="Times New Roman"/>
          <w:color w:val="000000"/>
          <w:kern w:val="0"/>
          <w:sz w:val="36"/>
          <w:szCs w:val="36"/>
          <w:lang w:bidi="ar"/>
        </w:rPr>
      </w:pPr>
    </w:p>
    <w:p w14:paraId="4500BE80">
      <w:pPr>
        <w:rPr>
          <w:rFonts w:ascii="Times New Roman" w:hAnsi="Times New Roman" w:eastAsia="黑体" w:cs="Times New Roman"/>
          <w:color w:val="000000"/>
          <w:kern w:val="0"/>
          <w:sz w:val="32"/>
          <w:szCs w:val="32"/>
          <w:lang w:bidi="ar"/>
        </w:rPr>
      </w:pPr>
    </w:p>
    <w:p w14:paraId="152B7D2E">
      <w:pPr>
        <w:pStyle w:val="9"/>
      </w:pPr>
    </w:p>
    <w:p w14:paraId="53F195A1"/>
    <w:p w14:paraId="28B240E6">
      <w:pPr>
        <w:pStyle w:val="5"/>
        <w:ind w:left="0" w:leftChars="0" w:firstLine="0" w:firstLineChars="0"/>
      </w:pPr>
    </w:p>
    <w:p w14:paraId="76D834EC">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支出决算表</w:t>
      </w:r>
    </w:p>
    <w:p w14:paraId="5E3D2CAD">
      <w:pPr>
        <w:pStyle w:val="2"/>
        <w:rPr>
          <w:rFonts w:ascii="Times New Roman" w:hAnsi="Times New Roman" w:eastAsia="黑体" w:cs="Times New Roman"/>
          <w:color w:val="000000"/>
          <w:kern w:val="0"/>
          <w:sz w:val="36"/>
          <w:szCs w:val="36"/>
          <w:lang w:bidi="ar"/>
        </w:rPr>
      </w:pPr>
    </w:p>
    <w:p w14:paraId="36EDA7EE">
      <w:pPr>
        <w:pStyle w:val="2"/>
        <w:rPr>
          <w:rFonts w:ascii="Times New Roman" w:hAnsi="Times New Roman" w:eastAsia="黑体" w:cs="Times New Roman"/>
          <w:color w:val="000000"/>
          <w:kern w:val="0"/>
          <w:sz w:val="36"/>
          <w:szCs w:val="36"/>
          <w:lang w:bidi="ar"/>
        </w:rPr>
      </w:pPr>
    </w:p>
    <w:p w14:paraId="17A410D7">
      <w:pPr>
        <w:pStyle w:val="9"/>
      </w:pPr>
    </w:p>
    <w:p w14:paraId="283945A8">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object>
          <v:shape id="_x0000_i1027" o:spt="75" type="#_x0000_t75" style="height:246.1pt;width:690.45pt;" o:ole="t" filled="f" o:preferrelative="t" stroked="f" coordsize="21600,21600">
            <v:path/>
            <v:fill on="f" focussize="0,0"/>
            <v:stroke on="f"/>
            <v:imagedata r:id="rId13" o:title=""/>
            <o:lock v:ext="edit" aspectratio="f"/>
            <w10:wrap type="none"/>
            <w10:anchorlock/>
          </v:shape>
          <o:OLEObject Type="Embed" ProgID="Excel.Sheet.12" ShapeID="_x0000_i1027" DrawAspect="Content" ObjectID="_1468075727" r:id="rId12">
            <o:LockedField>false</o:LockedField>
          </o:OLEObject>
        </w:objec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bookmarkStart w:id="0" w:name="RANGE!A1:F16"/>
    </w:p>
    <w:p w14:paraId="6A8BE925">
      <w:pPr>
        <w:pStyle w:val="9"/>
      </w:pPr>
    </w:p>
    <w:p w14:paraId="2E49B65B">
      <w:pPr>
        <w:widowControl/>
        <w:spacing w:line="400" w:lineRule="exact"/>
        <w:jc w:val="center"/>
        <w:textAlignment w:val="center"/>
        <w:rPr>
          <w:rFonts w:ascii="Times New Roman" w:hAnsi="Times New Roman" w:eastAsia="黑体" w:cs="Times New Roman"/>
          <w:color w:val="000000"/>
          <w:kern w:val="0"/>
          <w:sz w:val="32"/>
          <w:szCs w:val="32"/>
          <w:lang w:bidi="ar"/>
        </w:rPr>
      </w:pPr>
    </w:p>
    <w:p w14:paraId="0908DFE8">
      <w:pPr>
        <w:pStyle w:val="9"/>
      </w:pPr>
    </w:p>
    <w:p w14:paraId="6371BB18">
      <w:pPr>
        <w:widowControl/>
        <w:spacing w:after="156" w:afterLines="50"/>
        <w:jc w:val="center"/>
        <w:textAlignment w:val="center"/>
      </w:pPr>
      <w:r>
        <w:rPr>
          <w:rFonts w:ascii="Times New Roman" w:hAnsi="Times New Roman" w:eastAsia="黑体" w:cs="Times New Roman"/>
          <w:color w:val="000000"/>
          <w:kern w:val="0"/>
          <w:sz w:val="36"/>
          <w:szCs w:val="36"/>
          <w:lang w:bidi="ar"/>
        </w:rPr>
        <w:t>财政拨款收入支出决算总表</w:t>
      </w:r>
      <w:r>
        <w:rPr>
          <w:rFonts w:ascii="Times New Roman" w:hAnsi="Times New Roman" w:eastAsia="黑体" w:cs="Times New Roman"/>
          <w:color w:val="000000"/>
          <w:kern w:val="0"/>
          <w:sz w:val="36"/>
          <w:szCs w:val="36"/>
          <w:lang w:bidi="ar"/>
        </w:rPr>
        <w:object>
          <v:shape id="_x0000_i1028" o:spt="75" type="#_x0000_t75" style="height:432pt;width:665.3pt;" o:ole="t" filled="f" o:preferrelative="t" stroked="f" coordsize="21600,21600">
            <v:path/>
            <v:fill on="f" focussize="0,0"/>
            <v:stroke on="f"/>
            <v:imagedata r:id="rId15" o:title=""/>
            <o:lock v:ext="edit" aspectratio="f"/>
            <w10:wrap type="none"/>
            <w10:anchorlock/>
          </v:shape>
          <o:OLEObject Type="Embed" ProgID="Excel.Sheet.12" ShapeID="_x0000_i1028" DrawAspect="Content" ObjectID="_1468075728" r:id="rId14">
            <o:LockedField>false</o:LockedField>
          </o:OLEObject>
        </w:object>
      </w:r>
    </w:p>
    <w:p w14:paraId="4B34DEDC">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一般公共预算财政拨款支出决算表</w:t>
      </w:r>
      <w:bookmarkEnd w:id="0"/>
    </w:p>
    <w:p w14:paraId="28B31CCB">
      <w:pPr>
        <w:pStyle w:val="5"/>
      </w:pPr>
    </w:p>
    <w:p w14:paraId="2BACC34C">
      <w:pPr>
        <w:widowControl/>
        <w:spacing w:before="120"/>
        <w:jc w:val="left"/>
        <w:rPr>
          <w:rFonts w:ascii="Times New Roman" w:hAnsi="Times New Roman" w:eastAsia="仿宋_GB2312" w:cs="Times New Roman"/>
          <w:kern w:val="0"/>
          <w:szCs w:val="21"/>
        </w:rPr>
      </w:pPr>
      <w:r>
        <w:rPr>
          <w:rFonts w:ascii="Times New Roman" w:hAnsi="Times New Roman" w:eastAsia="仿宋_GB2312" w:cs="Times New Roman"/>
          <w:color w:val="000000"/>
          <w:kern w:val="0"/>
          <w:szCs w:val="21"/>
        </w:rPr>
        <w:t xml:space="preserve">   </w:t>
      </w:r>
      <w:r>
        <w:rPr>
          <w:rFonts w:ascii="Times New Roman" w:hAnsi="Times New Roman" w:eastAsia="仿宋_GB2312" w:cs="Times New Roman"/>
          <w:kern w:val="0"/>
          <w:szCs w:val="21"/>
        </w:rPr>
        <w:object>
          <v:shape id="_x0000_i1029" o:spt="75" type="#_x0000_t75" style="height:257.45pt;width:674.35pt;" o:ole="t" filled="f" o:preferrelative="t" stroked="f" coordsize="21600,21600">
            <v:path/>
            <v:fill on="f" focussize="0,0"/>
            <v:stroke on="f"/>
            <v:imagedata r:id="rId17" o:title=""/>
            <o:lock v:ext="edit" aspectratio="f"/>
            <w10:wrap type="none"/>
            <w10:anchorlock/>
          </v:shape>
          <o:OLEObject Type="Embed" ProgID="Excel.Sheet.12" ShapeID="_x0000_i1029" DrawAspect="Content" ObjectID="_1468075729" r:id="rId16">
            <o:LockedField>false</o:LockedField>
          </o:OLEObject>
        </w:object>
      </w:r>
    </w:p>
    <w:p w14:paraId="6EB237F3">
      <w:pPr>
        <w:widowControl/>
        <w:jc w:val="left"/>
        <w:rPr>
          <w:rFonts w:ascii="Times New Roman" w:hAnsi="Times New Roman" w:eastAsia="仿宋_GB2312" w:cs="Times New Roman"/>
          <w:bCs/>
          <w:kern w:val="0"/>
          <w:szCs w:val="21"/>
        </w:rPr>
      </w:pPr>
    </w:p>
    <w:p w14:paraId="568C3B31">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14:paraId="7B4DAC90">
      <w:pPr>
        <w:widowControl/>
        <w:spacing w:after="120"/>
        <w:jc w:val="center"/>
        <w:textAlignment w:val="center"/>
        <w:rPr>
          <w:rFonts w:ascii="Times New Roman" w:hAnsi="Times New Roman" w:eastAsia="黑体" w:cs="Times New Roman"/>
          <w:color w:val="000000"/>
          <w:kern w:val="0"/>
          <w:sz w:val="36"/>
          <w:szCs w:val="36"/>
          <w:lang w:bidi="ar"/>
        </w:rPr>
      </w:pPr>
      <w:bookmarkStart w:id="1" w:name="RANGE!A1:I34"/>
      <w:r>
        <w:rPr>
          <w:rFonts w:ascii="Times New Roman" w:hAnsi="Times New Roman" w:eastAsia="黑体" w:cs="Times New Roman"/>
          <w:color w:val="000000"/>
          <w:kern w:val="0"/>
          <w:sz w:val="36"/>
          <w:szCs w:val="36"/>
          <w:lang w:bidi="ar"/>
        </w:rPr>
        <w:t>一般公共预算财政拨款基本支出决算明细表</w:t>
      </w:r>
      <w:bookmarkEnd w:id="1"/>
      <w:r>
        <w:rPr>
          <w:rFonts w:ascii="Times New Roman" w:hAnsi="Times New Roman" w:eastAsia="黑体" w:cs="Times New Roman"/>
          <w:color w:val="000000"/>
          <w:kern w:val="0"/>
          <w:sz w:val="36"/>
          <w:szCs w:val="36"/>
          <w:lang w:bidi="ar"/>
        </w:rPr>
        <w:object>
          <v:shape id="_x0000_i1030" o:spt="75" type="#_x0000_t75" style="height:394.5pt;width:700.2pt;" o:ole="t" filled="f" o:preferrelative="t" stroked="f" coordsize="21600,21600">
            <v:path/>
            <v:fill on="f" focussize="0,0"/>
            <v:stroke on="f"/>
            <v:imagedata r:id="rId19" o:title=""/>
            <o:lock v:ext="edit" aspectratio="f"/>
            <w10:wrap type="none"/>
            <w10:anchorlock/>
          </v:shape>
          <o:OLEObject Type="Embed" ProgID="Excel.Sheet.12" ShapeID="_x0000_i1030" DrawAspect="Content" ObjectID="_1468075730" r:id="rId18">
            <o:LockedField>false</o:LockedField>
          </o:OLEObject>
        </w:object>
      </w:r>
    </w:p>
    <w:p w14:paraId="7B89E5DA">
      <w:pPr>
        <w:widowControl/>
        <w:spacing w:after="156" w:afterLines="50"/>
        <w:jc w:val="both"/>
        <w:textAlignment w:val="center"/>
        <w:rPr>
          <w:rFonts w:ascii="Times New Roman" w:hAnsi="Times New Roman" w:eastAsia="黑体" w:cs="Times New Roman"/>
          <w:color w:val="000000"/>
          <w:kern w:val="0"/>
          <w:sz w:val="36"/>
          <w:szCs w:val="36"/>
          <w:lang w:bidi="ar"/>
        </w:rPr>
      </w:pPr>
    </w:p>
    <w:p w14:paraId="3755FBC2">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政府性基金预算财政拨款收入支出决算表</w:t>
      </w:r>
      <w:r>
        <w:rPr>
          <w:rFonts w:ascii="Times New Roman" w:hAnsi="Times New Roman" w:eastAsia="黑体" w:cs="Times New Roman"/>
          <w:color w:val="000000"/>
          <w:kern w:val="0"/>
          <w:sz w:val="36"/>
          <w:szCs w:val="36"/>
          <w:lang w:bidi="ar"/>
        </w:rPr>
        <w:object>
          <v:shape id="_x0000_i1031" o:spt="75" type="#_x0000_t75" style="height:162.75pt;width:667.5pt;" o:ole="t" filled="f" o:preferrelative="t" stroked="f" coordsize="21600,21600">
            <v:path/>
            <v:fill on="f" focussize="0,0"/>
            <v:stroke on="f"/>
            <v:imagedata r:id="rId21" o:title=""/>
            <o:lock v:ext="edit" aspectratio="f"/>
            <w10:wrap type="none"/>
            <w10:anchorlock/>
          </v:shape>
          <o:OLEObject Type="Embed" ProgID="Excel.Sheet.12" ShapeID="_x0000_i1031" DrawAspect="Content" ObjectID="_1468075731" r:id="rId20">
            <o:LockedField>false</o:LockedField>
          </o:OLEObject>
        </w:object>
      </w:r>
    </w:p>
    <w:p w14:paraId="43AF5FE7">
      <w:pPr>
        <w:widowControl/>
        <w:spacing w:line="400" w:lineRule="exact"/>
        <w:textAlignment w:val="center"/>
        <w:rPr>
          <w:rFonts w:ascii="Times New Roman" w:hAnsi="Times New Roman" w:eastAsia="黑体" w:cs="Times New Roman"/>
          <w:color w:val="000000"/>
          <w:kern w:val="0"/>
          <w:sz w:val="36"/>
          <w:szCs w:val="36"/>
          <w:lang w:bidi="ar"/>
        </w:rPr>
      </w:pPr>
    </w:p>
    <w:p w14:paraId="2735358B">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国有资本经营预算财政拨款支出决算表</w:t>
      </w:r>
    </w:p>
    <w:p w14:paraId="0F59B5F3">
      <w:pPr>
        <w:widowControl/>
        <w:jc w:val="left"/>
        <w:textAlignment w:val="center"/>
        <w:rPr>
          <w:rFonts w:ascii="Times New Roman" w:hAnsi="Times New Roman" w:eastAsia="宋体" w:cs="Times New Roman"/>
          <w:color w:val="000000"/>
          <w:kern w:val="0"/>
          <w:sz w:val="24"/>
          <w:szCs w:val="24"/>
          <w:lang w:bidi="ar"/>
        </w:rPr>
      </w:pPr>
      <w:r>
        <w:rPr>
          <w:rFonts w:hint="eastAsia" w:ascii="Times New Roman" w:hAnsi="Times New Roman" w:eastAsia="宋体" w:cs="Times New Roman"/>
          <w:color w:val="000000"/>
          <w:kern w:val="0"/>
          <w:sz w:val="24"/>
          <w:szCs w:val="24"/>
          <w:lang w:val="en-US" w:eastAsia="zh-CN" w:bidi="ar"/>
        </w:rPr>
        <w:t xml:space="preserve">                </w:t>
      </w:r>
      <w:r>
        <w:rPr>
          <w:rFonts w:ascii="Times New Roman" w:hAnsi="Times New Roman" w:eastAsia="宋体" w:cs="Times New Roman"/>
          <w:color w:val="000000"/>
          <w:kern w:val="0"/>
          <w:sz w:val="24"/>
          <w:szCs w:val="24"/>
          <w:lang w:bidi="ar"/>
        </w:rPr>
        <w:object>
          <v:shape id="_x0000_i1032" o:spt="75" type="#_x0000_t75" style="height:148.5pt;width:498.75pt;" o:ole="t" filled="f" o:preferrelative="t" stroked="f" coordsize="21600,21600">
            <v:path/>
            <v:fill on="f" focussize="0,0"/>
            <v:stroke on="f"/>
            <v:imagedata r:id="rId23" o:title=""/>
            <o:lock v:ext="edit" aspectratio="f"/>
            <w10:wrap type="none"/>
            <w10:anchorlock/>
          </v:shape>
          <o:OLEObject Type="Embed" ProgID="Excel.Sheet.12" ShapeID="_x0000_i1032" DrawAspect="Content" ObjectID="_1468075732" r:id="rId22">
            <o:LockedField>false</o:LockedField>
          </o:OLEObject>
        </w:object>
      </w:r>
    </w:p>
    <w:p w14:paraId="36A32049">
      <w:pPr>
        <w:widowControl/>
        <w:ind w:firstLine="1928" w:firstLineChars="800"/>
        <w:jc w:val="left"/>
        <w:textAlignment w:val="center"/>
        <w:rPr>
          <w:rFonts w:ascii="Times New Roman" w:hAnsi="Times New Roman" w:eastAsia="楷体_GB2312" w:cs="Times New Roman"/>
          <w:color w:val="000000"/>
          <w:kern w:val="0"/>
          <w:sz w:val="24"/>
          <w:szCs w:val="24"/>
          <w:lang w:bidi="ar"/>
        </w:rPr>
      </w:pPr>
      <w:r>
        <w:rPr>
          <w:rFonts w:ascii="Times New Roman" w:hAnsi="Times New Roman" w:eastAsia="楷体_GB2312" w:cs="Times New Roman"/>
          <w:b/>
          <w:bCs/>
          <w:kern w:val="0"/>
          <w:sz w:val="24"/>
          <w:szCs w:val="24"/>
          <w:lang w:bidi="ar"/>
        </w:rPr>
        <w:t>说明：我单位没有使用国有资本经营预算安排的支出，故本表无数据。</w:t>
      </w:r>
    </w:p>
    <w:p w14:paraId="6972A7B8">
      <w:pPr>
        <w:widowControl/>
        <w:jc w:val="center"/>
        <w:rPr>
          <w:rFonts w:ascii="Times New Roman" w:hAnsi="Times New Roman" w:eastAsia="方正小标宋_GBK" w:cs="Times New Roman"/>
          <w:color w:val="000000"/>
          <w:kern w:val="0"/>
          <w:sz w:val="36"/>
          <w:szCs w:val="36"/>
        </w:rPr>
      </w:pPr>
    </w:p>
    <w:p w14:paraId="06AAFC54">
      <w:pPr>
        <w:pStyle w:val="9"/>
        <w:spacing w:line="400" w:lineRule="exact"/>
        <w:rPr>
          <w:rFonts w:ascii="Times New Roman" w:hAnsi="Times New Roman" w:eastAsia="华文中宋" w:cs="Times New Roman"/>
          <w:color w:val="000000"/>
          <w:kern w:val="0"/>
          <w:sz w:val="32"/>
          <w:szCs w:val="32"/>
          <w:lang w:bidi="ar"/>
        </w:rPr>
      </w:pPr>
    </w:p>
    <w:p w14:paraId="7437DB8E">
      <w:pPr>
        <w:rPr>
          <w:rFonts w:ascii="Times New Roman" w:hAnsi="Times New Roman" w:eastAsia="华文中宋" w:cs="Times New Roman"/>
          <w:color w:val="000000"/>
          <w:kern w:val="0"/>
          <w:sz w:val="32"/>
          <w:szCs w:val="32"/>
          <w:lang w:bidi="ar"/>
        </w:rPr>
      </w:pPr>
    </w:p>
    <w:p w14:paraId="480D1116">
      <w:pPr>
        <w:pStyle w:val="9"/>
        <w:rPr>
          <w:rFonts w:ascii="Times New Roman" w:hAnsi="Times New Roman" w:eastAsia="华文中宋" w:cs="Times New Roman"/>
          <w:color w:val="000000"/>
          <w:kern w:val="0"/>
          <w:sz w:val="32"/>
          <w:szCs w:val="32"/>
          <w:lang w:bidi="ar"/>
        </w:rPr>
      </w:pPr>
    </w:p>
    <w:p w14:paraId="46B6F95A">
      <w:pPr>
        <w:pStyle w:val="5"/>
      </w:pPr>
    </w:p>
    <w:p w14:paraId="51BB32B0">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财政拨款“三公”经费支出决算表</w:t>
      </w:r>
    </w:p>
    <w:p w14:paraId="2C8479BE">
      <w:pPr>
        <w:widowControl/>
        <w:spacing w:before="120"/>
        <w:jc w:val="left"/>
        <w:textAlignment w:val="center"/>
        <w:rPr>
          <w:rFonts w:ascii="Times New Roman" w:hAnsi="Times New Roman" w:eastAsia="仿宋_GB2312" w:cs="Times New Roman"/>
          <w:color w:val="000000"/>
          <w:sz w:val="24"/>
          <w:szCs w:val="24"/>
        </w:rPr>
      </w:pP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仿宋_GB2312" w:cs="Times New Roman"/>
          <w:color w:val="000000"/>
          <w:sz w:val="24"/>
          <w:szCs w:val="24"/>
        </w:rPr>
        <w:object>
          <v:shape id="_x0000_i1033" o:spt="75" type="#_x0000_t75" style="height:127.4pt;width:700.15pt;" o:ole="t" filled="f" o:preferrelative="t" stroked="f" coordsize="21600,21600">
            <v:path/>
            <v:fill on="f" focussize="0,0"/>
            <v:stroke on="f"/>
            <v:imagedata r:id="rId25" o:title=""/>
            <o:lock v:ext="edit" aspectratio="f"/>
            <w10:wrap type="none"/>
            <w10:anchorlock/>
          </v:shape>
          <o:OLEObject Type="Embed" ProgID="Excel.Sheet.12" ShapeID="_x0000_i1033" DrawAspect="Content" ObjectID="_1468075733" r:id="rId24">
            <o:LockedField>false</o:LockedField>
          </o:OLEObject>
        </w:object>
      </w:r>
    </w:p>
    <w:p w14:paraId="62A5C9A9">
      <w:pPr>
        <w:autoSpaceDE w:val="0"/>
        <w:autoSpaceDN w:val="0"/>
        <w:adjustRightInd w:val="0"/>
        <w:ind w:left="315" w:leftChars="150"/>
        <w:jc w:val="left"/>
        <w:rPr>
          <w:rFonts w:ascii="Times New Roman" w:hAnsi="Times New Roman" w:eastAsia="宋体" w:cs="Times New Roman"/>
          <w:kern w:val="0"/>
          <w:sz w:val="24"/>
          <w:szCs w:val="24"/>
        </w:rPr>
      </w:pPr>
    </w:p>
    <w:p w14:paraId="7A4B5265">
      <w:pPr>
        <w:autoSpaceDE w:val="0"/>
        <w:autoSpaceDN w:val="0"/>
        <w:adjustRightInd w:val="0"/>
        <w:ind w:left="315" w:leftChars="150"/>
        <w:jc w:val="left"/>
        <w:rPr>
          <w:rFonts w:ascii="Times New Roman" w:hAnsi="Times New Roman" w:eastAsia="宋体" w:cs="Times New Roman"/>
          <w:kern w:val="0"/>
          <w:sz w:val="24"/>
          <w:szCs w:val="24"/>
        </w:rPr>
      </w:pPr>
    </w:p>
    <w:p w14:paraId="50C5003B">
      <w:pPr>
        <w:autoSpaceDE w:val="0"/>
        <w:autoSpaceDN w:val="0"/>
        <w:adjustRightInd w:val="0"/>
        <w:ind w:left="315" w:leftChars="150"/>
        <w:jc w:val="left"/>
        <w:rPr>
          <w:rFonts w:ascii="Times New Roman" w:hAnsi="Times New Roman" w:eastAsia="宋体" w:cs="Times New Roman"/>
          <w:kern w:val="0"/>
          <w:sz w:val="24"/>
          <w:szCs w:val="24"/>
        </w:rPr>
      </w:pPr>
    </w:p>
    <w:p w14:paraId="40090714">
      <w:pPr>
        <w:autoSpaceDE w:val="0"/>
        <w:autoSpaceDN w:val="0"/>
        <w:adjustRightInd w:val="0"/>
        <w:ind w:left="315" w:leftChars="150"/>
        <w:jc w:val="left"/>
        <w:rPr>
          <w:rFonts w:ascii="Times New Roman" w:hAnsi="Times New Roman" w:eastAsia="宋体" w:cs="Times New Roman"/>
          <w:kern w:val="0"/>
          <w:sz w:val="24"/>
          <w:szCs w:val="24"/>
        </w:rPr>
      </w:pPr>
    </w:p>
    <w:p w14:paraId="380D83DC">
      <w:pPr>
        <w:autoSpaceDE w:val="0"/>
        <w:autoSpaceDN w:val="0"/>
        <w:adjustRightInd w:val="0"/>
        <w:ind w:left="315" w:leftChars="150"/>
        <w:jc w:val="left"/>
        <w:rPr>
          <w:rFonts w:ascii="Times New Roman" w:hAnsi="Times New Roman" w:eastAsia="宋体" w:cs="Times New Roman"/>
          <w:kern w:val="0"/>
          <w:sz w:val="24"/>
          <w:szCs w:val="24"/>
        </w:rPr>
      </w:pPr>
    </w:p>
    <w:p w14:paraId="25CA6157">
      <w:pPr>
        <w:widowControl/>
        <w:rPr>
          <w:rFonts w:ascii="Times New Roman" w:hAnsi="Times New Roman" w:cs="Times New Roman"/>
          <w:sz w:val="72"/>
          <w:szCs w:val="72"/>
        </w:rPr>
        <w:sectPr>
          <w:type w:val="continuous"/>
          <w:pgSz w:w="16838" w:h="11906" w:orient="landscape"/>
          <w:pgMar w:top="1134" w:right="1417" w:bottom="1134" w:left="1417" w:header="851" w:footer="992" w:gutter="0"/>
          <w:cols w:space="425" w:num="1"/>
          <w:docGrid w:type="lines" w:linePitch="312" w:charSpace="0"/>
        </w:sectPr>
      </w:pPr>
      <w:r>
        <w:rPr>
          <w:rFonts w:ascii="Times New Roman" w:hAnsi="Times New Roman" w:eastAsia="黑体" w:cs="Times New Roman"/>
          <w:szCs w:val="21"/>
        </w:rPr>
        <w:br w:type="page"/>
      </w:r>
    </w:p>
    <w:p w14:paraId="63BE14F1">
      <w:pPr>
        <w:pStyle w:val="15"/>
        <w:rPr>
          <w:rFonts w:ascii="Times New Roman" w:hAnsi="Times New Roman" w:cs="Times New Roman"/>
          <w:sz w:val="72"/>
          <w:szCs w:val="72"/>
        </w:rPr>
      </w:pPr>
    </w:p>
    <w:p w14:paraId="5E653B3E">
      <w:pPr>
        <w:pStyle w:val="15"/>
        <w:rPr>
          <w:rFonts w:ascii="Times New Roman" w:hAnsi="Times New Roman" w:cs="Times New Roman"/>
          <w:sz w:val="72"/>
          <w:szCs w:val="72"/>
        </w:rPr>
      </w:pPr>
    </w:p>
    <w:p w14:paraId="1F65F002">
      <w:pPr>
        <w:pStyle w:val="15"/>
        <w:rPr>
          <w:rFonts w:ascii="Times New Roman" w:hAnsi="Times New Roman" w:cs="Times New Roman"/>
          <w:sz w:val="72"/>
          <w:szCs w:val="72"/>
        </w:rPr>
        <w:sectPr>
          <w:pgSz w:w="11906" w:h="16838"/>
          <w:pgMar w:top="1417" w:right="1588" w:bottom="1417" w:left="1588" w:header="851" w:footer="992" w:gutter="0"/>
          <w:cols w:space="425" w:num="1"/>
          <w:docGrid w:type="linesAndChars" w:linePitch="312" w:charSpace="0"/>
        </w:sectPr>
      </w:pPr>
    </w:p>
    <w:p w14:paraId="5AE33FE0">
      <w:pPr>
        <w:pStyle w:val="15"/>
        <w:rPr>
          <w:rFonts w:ascii="Times New Roman" w:hAnsi="Times New Roman" w:cs="Times New Roman"/>
          <w:sz w:val="72"/>
          <w:szCs w:val="72"/>
        </w:rPr>
      </w:pPr>
    </w:p>
    <w:p w14:paraId="38650E8A">
      <w:pPr>
        <w:pStyle w:val="15"/>
        <w:rPr>
          <w:rFonts w:ascii="Times New Roman" w:hAnsi="Times New Roman" w:cs="Times New Roman"/>
          <w:sz w:val="72"/>
          <w:szCs w:val="72"/>
        </w:rPr>
      </w:pPr>
    </w:p>
    <w:p w14:paraId="77B4DAB3">
      <w:pPr>
        <w:pStyle w:val="15"/>
        <w:jc w:val="center"/>
        <w:rPr>
          <w:rFonts w:ascii="Times New Roman" w:hAnsi="Times New Roman" w:cs="Times New Roman"/>
          <w:sz w:val="72"/>
          <w:szCs w:val="72"/>
        </w:rPr>
      </w:pPr>
    </w:p>
    <w:p w14:paraId="7C828517">
      <w:pPr>
        <w:pStyle w:val="15"/>
        <w:jc w:val="center"/>
        <w:rPr>
          <w:rFonts w:ascii="Times New Roman" w:hAnsi="Times New Roman" w:eastAsia="方正小标宋_GBK" w:cs="Times New Roman"/>
          <w:sz w:val="72"/>
          <w:szCs w:val="72"/>
        </w:rPr>
      </w:pPr>
    </w:p>
    <w:p w14:paraId="13F04000">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14:paraId="77181ECC">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14:paraId="7F00E7C6">
      <w:pPr>
        <w:widowControl/>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14:paraId="30B05F51">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14:paraId="6E9FD64C">
      <w:pPr>
        <w:pStyle w:val="15"/>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lang w:val="en-US" w:eastAsia="zh-CN"/>
        </w:rPr>
        <w:t>999.37</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lang w:val="en-US" w:eastAsia="zh-CN"/>
        </w:rPr>
        <w:t>480.08</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92.44</w:t>
      </w:r>
      <w:r>
        <w:rPr>
          <w:rFonts w:ascii="Times New Roman" w:hAnsi="Times New Roman" w:eastAsia="仿宋_GB2312" w:cs="Times New Roman"/>
          <w:sz w:val="32"/>
          <w:szCs w:val="32"/>
        </w:rPr>
        <w:t>%，主要是因为因为</w:t>
      </w:r>
      <w:r>
        <w:rPr>
          <w:rFonts w:hint="eastAsia" w:ascii="Times New Roman" w:hAnsi="Times New Roman" w:eastAsia="仿宋_GB2312" w:cs="Times New Roman"/>
          <w:sz w:val="32"/>
          <w:szCs w:val="32"/>
        </w:rPr>
        <w:t>年项目资金投入增加。</w:t>
      </w:r>
    </w:p>
    <w:p w14:paraId="237A8D34">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14:paraId="511ED6F3">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lang w:val="en-US" w:eastAsia="zh-CN"/>
        </w:rPr>
        <w:t>997.6</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lang w:val="en-US" w:eastAsia="zh-CN"/>
        </w:rPr>
        <w:t>980.14</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98.25</w:t>
      </w:r>
      <w:r>
        <w:rPr>
          <w:rFonts w:ascii="Times New Roman" w:hAnsi="Times New Roman" w:eastAsia="仿宋_GB2312" w:cs="Times New Roman"/>
          <w:sz w:val="32"/>
          <w:szCs w:val="32"/>
        </w:rPr>
        <w:t>%；上级补助收入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%；事业收入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%；附属单位上缴收入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%；其他收入</w:t>
      </w:r>
      <w:r>
        <w:rPr>
          <w:rFonts w:hint="eastAsia" w:ascii="Times New Roman" w:hAnsi="Times New Roman" w:eastAsia="仿宋_GB2312" w:cs="Times New Roman"/>
          <w:sz w:val="32"/>
          <w:szCs w:val="32"/>
          <w:lang w:val="en-US" w:eastAsia="zh-CN"/>
        </w:rPr>
        <w:t>17.46</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1.75</w:t>
      </w:r>
      <w:r>
        <w:rPr>
          <w:rFonts w:ascii="Times New Roman" w:hAnsi="Times New Roman" w:eastAsia="仿宋_GB2312" w:cs="Times New Roman"/>
          <w:sz w:val="32"/>
          <w:szCs w:val="32"/>
        </w:rPr>
        <w:t>%。</w:t>
      </w:r>
    </w:p>
    <w:p w14:paraId="08DD9F57">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14:paraId="6468F372">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lang w:val="en-US" w:eastAsia="zh-CN"/>
        </w:rPr>
        <w:t>999.37</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175.15</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17.53</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lang w:val="en-US" w:eastAsia="zh-CN"/>
        </w:rPr>
        <w:t>824.22</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82.47</w:t>
      </w:r>
      <w:r>
        <w:rPr>
          <w:rFonts w:ascii="Times New Roman" w:hAnsi="Times New Roman" w:eastAsia="仿宋_GB2312" w:cs="Times New Roman"/>
          <w:sz w:val="32"/>
          <w:szCs w:val="32"/>
        </w:rPr>
        <w:t>%；上缴上级支出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%；对附属单位补助支出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3D209040">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14:paraId="598F5375">
      <w:pPr>
        <w:pStyle w:val="15"/>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rPr>
        <w:t>182</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rPr>
        <w:t>77</w:t>
      </w:r>
      <w:r>
        <w:rPr>
          <w:rFonts w:ascii="Times New Roman" w:hAnsi="Times New Roman" w:eastAsia="仿宋_GB2312" w:cs="Times New Roman"/>
          <w:sz w:val="32"/>
          <w:szCs w:val="32"/>
        </w:rPr>
        <w:t>万元，与上年相比，减少</w:t>
      </w:r>
      <w:r>
        <w:rPr>
          <w:rFonts w:hint="eastAsia" w:ascii="Times New Roman" w:hAnsi="Times New Roman" w:eastAsia="仿宋_GB2312" w:cs="Times New Roman"/>
          <w:sz w:val="32"/>
          <w:szCs w:val="32"/>
          <w:lang w:val="en-US" w:eastAsia="zh-CN"/>
        </w:rPr>
        <w:t>55.45</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30.34</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val="en-US" w:eastAsia="zh-CN"/>
        </w:rPr>
        <w:t>单位专项减少。</w:t>
      </w:r>
    </w:p>
    <w:p w14:paraId="3BA2BC3D">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14:paraId="771CE9BF">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14:paraId="35F27B37">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182.77</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lang w:val="en-US" w:eastAsia="zh-CN"/>
        </w:rPr>
        <w:t>18.29</w:t>
      </w:r>
      <w:r>
        <w:rPr>
          <w:rFonts w:ascii="Times New Roman" w:hAnsi="Times New Roman" w:eastAsia="仿宋_GB2312" w:cs="Times New Roman"/>
          <w:sz w:val="32"/>
          <w:szCs w:val="32"/>
        </w:rPr>
        <w:t>%，与上年相比，财政拨款支出减少</w:t>
      </w:r>
      <w:r>
        <w:rPr>
          <w:rFonts w:hint="eastAsia" w:ascii="Times New Roman" w:hAnsi="Times New Roman" w:eastAsia="仿宋_GB2312" w:cs="Times New Roman"/>
          <w:sz w:val="32"/>
          <w:szCs w:val="32"/>
          <w:lang w:val="en-US" w:eastAsia="zh-CN"/>
        </w:rPr>
        <w:t>55.45</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30.34</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val="en-US" w:eastAsia="zh-CN"/>
        </w:rPr>
        <w:t>单位专项减少。</w:t>
      </w:r>
    </w:p>
    <w:p w14:paraId="0E283CF8">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14:paraId="475AD56B">
      <w:pPr>
        <w:pStyle w:val="15"/>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182.77</w:t>
      </w:r>
      <w:r>
        <w:rPr>
          <w:rFonts w:ascii="Times New Roman" w:hAnsi="Times New Roman" w:eastAsia="仿宋_GB2312" w:cs="Times New Roman"/>
          <w:sz w:val="32"/>
          <w:szCs w:val="32"/>
        </w:rPr>
        <w:t>万元，主要用于以下方面：</w:t>
      </w:r>
      <w:r>
        <w:rPr>
          <w:rFonts w:hint="eastAsia" w:ascii="Times New Roman" w:hAnsi="Times New Roman" w:eastAsia="仿宋_GB2312" w:cs="Times New Roman"/>
          <w:sz w:val="32"/>
          <w:szCs w:val="32"/>
        </w:rPr>
        <w:t>一般公共服务（类）支出</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万元，占0%；科学技术（类）支出</w:t>
      </w:r>
      <w:r>
        <w:rPr>
          <w:rFonts w:hint="eastAsia" w:ascii="Times New Roman" w:hAnsi="Times New Roman" w:eastAsia="仿宋_GB2312" w:cs="Times New Roman"/>
          <w:sz w:val="32"/>
          <w:szCs w:val="32"/>
          <w:lang w:val="en-US" w:eastAsia="zh-CN"/>
        </w:rPr>
        <w:t>0.1</w:t>
      </w:r>
      <w:r>
        <w:rPr>
          <w:rFonts w:hint="eastAsia" w:ascii="Times New Roman" w:hAnsi="Times New Roman" w:eastAsia="仿宋_GB2312" w:cs="Times New Roman"/>
          <w:sz w:val="32"/>
          <w:szCs w:val="32"/>
        </w:rPr>
        <w:t>万元，占0.5%；农林水（类）支出</w:t>
      </w:r>
      <w:r>
        <w:rPr>
          <w:rFonts w:hint="eastAsia" w:ascii="Times New Roman" w:hAnsi="Times New Roman" w:eastAsia="仿宋_GB2312" w:cs="Times New Roman"/>
          <w:sz w:val="32"/>
          <w:szCs w:val="32"/>
          <w:lang w:val="en-US" w:eastAsia="zh-CN"/>
        </w:rPr>
        <w:t>170.03</w:t>
      </w:r>
      <w:r>
        <w:rPr>
          <w:rFonts w:hint="eastAsia"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93.02</w:t>
      </w:r>
      <w:r>
        <w:rPr>
          <w:rFonts w:hint="eastAsia" w:ascii="Times New Roman" w:hAnsi="Times New Roman" w:eastAsia="仿宋_GB2312" w:cs="Times New Roman"/>
          <w:sz w:val="32"/>
          <w:szCs w:val="32"/>
        </w:rPr>
        <w:t>%；住房保障（类）支出</w:t>
      </w:r>
      <w:r>
        <w:rPr>
          <w:rFonts w:hint="eastAsia" w:ascii="Times New Roman" w:hAnsi="Times New Roman" w:eastAsia="仿宋_GB2312" w:cs="Times New Roman"/>
          <w:sz w:val="32"/>
          <w:szCs w:val="32"/>
          <w:lang w:val="en-US" w:eastAsia="zh-CN"/>
        </w:rPr>
        <w:t>12.64</w:t>
      </w:r>
      <w:r>
        <w:rPr>
          <w:rFonts w:hint="eastAsia"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6.93</w:t>
      </w:r>
      <w:r>
        <w:rPr>
          <w:rFonts w:hint="eastAsia" w:ascii="Times New Roman" w:hAnsi="Times New Roman" w:eastAsia="仿宋_GB2312" w:cs="Times New Roman"/>
          <w:sz w:val="32"/>
          <w:szCs w:val="32"/>
        </w:rPr>
        <w:t>%。</w:t>
      </w:r>
    </w:p>
    <w:p w14:paraId="72D43414">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一般公共预算财政拨款支出决算具体情况</w:t>
      </w:r>
    </w:p>
    <w:p w14:paraId="535405F0">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hint="eastAsia" w:ascii="Times New Roman" w:hAnsi="Times New Roman" w:eastAsia="仿宋_GB2312" w:cs="Times New Roman"/>
          <w:sz w:val="32"/>
          <w:szCs w:val="32"/>
          <w:highlight w:val="none"/>
        </w:rPr>
        <w:t>2024年度一般公共预算财政拨款支出年初预算数为</w:t>
      </w:r>
      <w:r>
        <w:rPr>
          <w:rFonts w:hint="eastAsia" w:ascii="Times New Roman" w:hAnsi="Times New Roman" w:eastAsia="仿宋_GB2312" w:cs="Times New Roman"/>
          <w:sz w:val="32"/>
          <w:szCs w:val="32"/>
          <w:highlight w:val="none"/>
          <w:lang w:val="en-US" w:eastAsia="zh-CN"/>
        </w:rPr>
        <w:t>157.2</w:t>
      </w:r>
      <w:r>
        <w:rPr>
          <w:rFonts w:hint="eastAsia" w:ascii="Times New Roman" w:hAnsi="Times New Roman" w:eastAsia="仿宋_GB2312" w:cs="Times New Roman"/>
          <w:sz w:val="32"/>
          <w:szCs w:val="32"/>
          <w:highlight w:val="none"/>
        </w:rPr>
        <w:t>万元，支出决算数为</w:t>
      </w:r>
      <w:r>
        <w:rPr>
          <w:rFonts w:hint="eastAsia" w:ascii="Times New Roman" w:hAnsi="Times New Roman" w:eastAsia="仿宋_GB2312" w:cs="Times New Roman"/>
          <w:sz w:val="32"/>
          <w:szCs w:val="32"/>
          <w:highlight w:val="none"/>
          <w:lang w:val="en-US" w:eastAsia="zh-CN"/>
        </w:rPr>
        <w:t>182.77</w:t>
      </w:r>
      <w:r>
        <w:rPr>
          <w:rFonts w:hint="eastAsia" w:ascii="Times New Roman" w:hAnsi="Times New Roman" w:eastAsia="仿宋_GB2312" w:cs="Times New Roman"/>
          <w:sz w:val="32"/>
          <w:szCs w:val="32"/>
          <w:highlight w:val="none"/>
        </w:rPr>
        <w:t>万元，完成年初预算的</w:t>
      </w:r>
      <w:r>
        <w:rPr>
          <w:rFonts w:hint="eastAsia" w:ascii="Times New Roman" w:hAnsi="Times New Roman" w:eastAsia="仿宋_GB2312" w:cs="Times New Roman"/>
          <w:sz w:val="32"/>
          <w:szCs w:val="32"/>
          <w:highlight w:val="none"/>
          <w:lang w:val="en-US" w:eastAsia="zh-CN"/>
        </w:rPr>
        <w:t>116</w:t>
      </w:r>
      <w:r>
        <w:rPr>
          <w:rFonts w:hint="eastAsia" w:ascii="Times New Roman" w:hAnsi="Times New Roman" w:eastAsia="仿宋_GB2312" w:cs="Times New Roman"/>
          <w:sz w:val="32"/>
          <w:szCs w:val="32"/>
          <w:highlight w:val="none"/>
        </w:rPr>
        <w:t>%，其中：</w:t>
      </w:r>
    </w:p>
    <w:p w14:paraId="02DBF920">
      <w:pPr>
        <w:pStyle w:val="15"/>
        <w:overflowPunct w:val="0"/>
        <w:autoSpaceDE/>
        <w:autoSpaceDN/>
        <w:spacing w:line="600" w:lineRule="exact"/>
        <w:ind w:firstLine="640" w:firstLineChars="200"/>
        <w:jc w:val="both"/>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1.</w:t>
      </w:r>
      <w:r>
        <w:rPr>
          <w:rFonts w:hint="eastAsia" w:ascii="Times New Roman" w:hAnsi="Times New Roman" w:eastAsia="仿宋_GB2312" w:cs="Times New Roman"/>
          <w:sz w:val="32"/>
          <w:szCs w:val="32"/>
          <w:highlight w:val="none"/>
        </w:rPr>
        <w:t>农林水（类）农业农村（款）行政运行（项）：年初预算为</w:t>
      </w:r>
      <w:r>
        <w:rPr>
          <w:rFonts w:hint="eastAsia" w:ascii="Times New Roman" w:hAnsi="Times New Roman" w:eastAsia="仿宋_GB2312" w:cs="Times New Roman"/>
          <w:sz w:val="32"/>
          <w:szCs w:val="32"/>
          <w:highlight w:val="none"/>
          <w:lang w:val="en-US" w:eastAsia="zh-CN"/>
        </w:rPr>
        <w:t>147.6</w:t>
      </w:r>
      <w:r>
        <w:rPr>
          <w:rFonts w:hint="eastAsia" w:ascii="Times New Roman" w:hAnsi="Times New Roman" w:eastAsia="仿宋_GB2312" w:cs="Times New Roman"/>
          <w:sz w:val="32"/>
          <w:szCs w:val="32"/>
          <w:highlight w:val="none"/>
        </w:rPr>
        <w:t>万元，支出决算为</w:t>
      </w:r>
      <w:r>
        <w:rPr>
          <w:rFonts w:hint="eastAsia" w:ascii="Times New Roman" w:hAnsi="Times New Roman" w:eastAsia="仿宋_GB2312" w:cs="Times New Roman"/>
          <w:sz w:val="32"/>
          <w:szCs w:val="32"/>
          <w:highlight w:val="none"/>
          <w:lang w:val="en-US" w:eastAsia="zh-CN"/>
        </w:rPr>
        <w:t>157.27</w:t>
      </w:r>
      <w:r>
        <w:rPr>
          <w:rFonts w:hint="eastAsia" w:ascii="Times New Roman" w:hAnsi="Times New Roman" w:eastAsia="仿宋_GB2312" w:cs="Times New Roman"/>
          <w:sz w:val="32"/>
          <w:szCs w:val="32"/>
          <w:highlight w:val="none"/>
        </w:rPr>
        <w:t>万元，完成年初预算的</w:t>
      </w:r>
      <w:r>
        <w:rPr>
          <w:rFonts w:hint="eastAsia" w:ascii="Times New Roman" w:hAnsi="Times New Roman" w:eastAsia="仿宋_GB2312" w:cs="Times New Roman"/>
          <w:sz w:val="32"/>
          <w:szCs w:val="32"/>
          <w:highlight w:val="none"/>
          <w:lang w:val="en-US" w:eastAsia="zh-CN"/>
        </w:rPr>
        <w:t>106</w:t>
      </w:r>
      <w:r>
        <w:rPr>
          <w:rFonts w:hint="eastAsia" w:ascii="Times New Roman" w:hAnsi="Times New Roman" w:eastAsia="仿宋_GB2312" w:cs="Times New Roman"/>
          <w:sz w:val="32"/>
          <w:szCs w:val="32"/>
          <w:highlight w:val="none"/>
        </w:rPr>
        <w:t>%，决算数大于预算数主要原因是：因工作原因增加预算。</w:t>
      </w:r>
    </w:p>
    <w:p w14:paraId="2A092DF6">
      <w:pPr>
        <w:pStyle w:val="15"/>
        <w:overflowPunct w:val="0"/>
        <w:autoSpaceDE/>
        <w:autoSpaceDN/>
        <w:spacing w:line="600" w:lineRule="exact"/>
        <w:ind w:firstLine="640" w:firstLineChars="200"/>
        <w:jc w:val="both"/>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2.</w:t>
      </w:r>
      <w:r>
        <w:rPr>
          <w:rFonts w:hint="eastAsia" w:ascii="Times New Roman" w:hAnsi="Times New Roman" w:eastAsia="仿宋_GB2312" w:cs="Times New Roman"/>
          <w:sz w:val="32"/>
          <w:szCs w:val="32"/>
          <w:highlight w:val="none"/>
        </w:rPr>
        <w:t xml:space="preserve"> 科学技术（类）技术研究与开发（款）其他科技重大项目（项）：年初预算为0万元，支出决算为</w:t>
      </w:r>
      <w:r>
        <w:rPr>
          <w:rFonts w:hint="eastAsia" w:ascii="Times New Roman" w:hAnsi="Times New Roman" w:eastAsia="仿宋_GB2312" w:cs="Times New Roman"/>
          <w:sz w:val="32"/>
          <w:szCs w:val="32"/>
          <w:highlight w:val="none"/>
          <w:lang w:val="en-US" w:eastAsia="zh-CN"/>
        </w:rPr>
        <w:t>0.1</w:t>
      </w:r>
      <w:r>
        <w:rPr>
          <w:rFonts w:hint="eastAsia" w:ascii="Times New Roman" w:hAnsi="Times New Roman" w:eastAsia="仿宋_GB2312" w:cs="Times New Roman"/>
          <w:sz w:val="32"/>
          <w:szCs w:val="32"/>
          <w:highlight w:val="none"/>
        </w:rPr>
        <w:t>万元，决算数大于年初预算数的主要原因是预算调整。</w:t>
      </w:r>
    </w:p>
    <w:p w14:paraId="23601B25">
      <w:pPr>
        <w:pStyle w:val="15"/>
        <w:overflowPunct w:val="0"/>
        <w:autoSpaceDE/>
        <w:autoSpaceDN/>
        <w:spacing w:line="600" w:lineRule="exact"/>
        <w:ind w:firstLine="640" w:firstLineChars="200"/>
        <w:jc w:val="both"/>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3</w:t>
      </w:r>
      <w:r>
        <w:rPr>
          <w:rFonts w:hint="eastAsia" w:ascii="Times New Roman" w:hAnsi="Times New Roman" w:eastAsia="仿宋_GB2312" w:cs="Times New Roman"/>
          <w:sz w:val="32"/>
          <w:szCs w:val="32"/>
          <w:highlight w:val="none"/>
        </w:rPr>
        <w:t>. 住房保障（类）住房改革支出（款）住房公积金（项）：年初预算为</w:t>
      </w:r>
      <w:r>
        <w:rPr>
          <w:rFonts w:hint="eastAsia" w:ascii="Times New Roman" w:hAnsi="Times New Roman" w:eastAsia="仿宋_GB2312" w:cs="Times New Roman"/>
          <w:sz w:val="32"/>
          <w:szCs w:val="32"/>
          <w:highlight w:val="none"/>
          <w:lang w:val="en-US" w:eastAsia="zh-CN"/>
        </w:rPr>
        <w:t>12.64</w:t>
      </w:r>
      <w:r>
        <w:rPr>
          <w:rFonts w:hint="eastAsia" w:ascii="Times New Roman" w:hAnsi="Times New Roman" w:eastAsia="仿宋_GB2312" w:cs="Times New Roman"/>
          <w:sz w:val="32"/>
          <w:szCs w:val="32"/>
          <w:highlight w:val="none"/>
        </w:rPr>
        <w:t>万元，支出决算为</w:t>
      </w:r>
      <w:r>
        <w:rPr>
          <w:rFonts w:hint="eastAsia" w:ascii="Times New Roman" w:hAnsi="Times New Roman" w:eastAsia="仿宋_GB2312" w:cs="Times New Roman"/>
          <w:sz w:val="32"/>
          <w:szCs w:val="32"/>
          <w:highlight w:val="none"/>
          <w:lang w:val="en-US" w:eastAsia="zh-CN"/>
        </w:rPr>
        <w:t>12.64</w:t>
      </w:r>
      <w:r>
        <w:rPr>
          <w:rFonts w:hint="eastAsia" w:ascii="Times New Roman" w:hAnsi="Times New Roman" w:eastAsia="仿宋_GB2312" w:cs="Times New Roman"/>
          <w:sz w:val="32"/>
          <w:szCs w:val="32"/>
          <w:highlight w:val="none"/>
        </w:rPr>
        <w:t>万元，完成年初预算的1</w:t>
      </w:r>
      <w:r>
        <w:rPr>
          <w:rFonts w:hint="eastAsia" w:ascii="Times New Roman" w:hAnsi="Times New Roman" w:eastAsia="仿宋_GB2312" w:cs="Times New Roman"/>
          <w:sz w:val="32"/>
          <w:szCs w:val="32"/>
          <w:highlight w:val="none"/>
          <w:lang w:val="en-US" w:eastAsia="zh-CN"/>
        </w:rPr>
        <w:t>00</w:t>
      </w:r>
      <w:r>
        <w:rPr>
          <w:rFonts w:hint="eastAsia" w:ascii="Times New Roman" w:hAnsi="Times New Roman" w:eastAsia="仿宋_GB2312" w:cs="Times New Roman"/>
          <w:sz w:val="32"/>
          <w:szCs w:val="32"/>
          <w:highlight w:val="none"/>
        </w:rPr>
        <w:t>%。</w:t>
      </w:r>
    </w:p>
    <w:p w14:paraId="42F3DE95">
      <w:pPr>
        <w:pStyle w:val="15"/>
        <w:overflowPunct w:val="0"/>
        <w:autoSpaceDE/>
        <w:autoSpaceDN/>
        <w:spacing w:line="600" w:lineRule="exact"/>
        <w:ind w:firstLine="640" w:firstLineChars="200"/>
        <w:jc w:val="both"/>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 xml:space="preserve">4. </w:t>
      </w:r>
      <w:r>
        <w:rPr>
          <w:rFonts w:hint="eastAsia" w:ascii="Times New Roman" w:hAnsi="Times New Roman" w:eastAsia="仿宋_GB2312" w:cs="Times New Roman"/>
          <w:sz w:val="32"/>
          <w:szCs w:val="32"/>
          <w:highlight w:val="none"/>
        </w:rPr>
        <w:t>农林水支出（类）农业农村（款）一般行政管理事务（项）</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年初预算为</w:t>
      </w:r>
      <w:r>
        <w:rPr>
          <w:rFonts w:hint="eastAsia" w:ascii="Times New Roman" w:hAnsi="Times New Roman" w:eastAsia="仿宋_GB2312" w:cs="Times New Roman"/>
          <w:sz w:val="32"/>
          <w:szCs w:val="32"/>
          <w:highlight w:val="none"/>
          <w:lang w:val="en-US" w:eastAsia="zh-CN"/>
        </w:rPr>
        <w:t>9.6</w:t>
      </w:r>
      <w:r>
        <w:rPr>
          <w:rFonts w:hint="eastAsia" w:ascii="Times New Roman" w:hAnsi="Times New Roman" w:eastAsia="仿宋_GB2312" w:cs="Times New Roman"/>
          <w:sz w:val="32"/>
          <w:szCs w:val="32"/>
          <w:highlight w:val="none"/>
        </w:rPr>
        <w:t>万元，支出决算为</w:t>
      </w:r>
      <w:r>
        <w:rPr>
          <w:rFonts w:hint="eastAsia" w:ascii="Times New Roman" w:hAnsi="Times New Roman" w:eastAsia="仿宋_GB2312" w:cs="Times New Roman"/>
          <w:sz w:val="32"/>
          <w:szCs w:val="32"/>
          <w:highlight w:val="none"/>
          <w:lang w:val="en-US" w:eastAsia="zh-CN"/>
        </w:rPr>
        <w:t>6.76</w:t>
      </w:r>
      <w:r>
        <w:rPr>
          <w:rFonts w:hint="eastAsia" w:ascii="Times New Roman" w:hAnsi="Times New Roman" w:eastAsia="仿宋_GB2312" w:cs="Times New Roman"/>
          <w:sz w:val="32"/>
          <w:szCs w:val="32"/>
          <w:highlight w:val="none"/>
        </w:rPr>
        <w:t>万元，完成年初预算的</w:t>
      </w:r>
      <w:r>
        <w:rPr>
          <w:rFonts w:hint="eastAsia" w:ascii="Times New Roman" w:hAnsi="Times New Roman" w:eastAsia="仿宋_GB2312" w:cs="Times New Roman"/>
          <w:sz w:val="32"/>
          <w:szCs w:val="32"/>
          <w:highlight w:val="none"/>
          <w:lang w:val="en-US" w:eastAsia="zh-CN"/>
        </w:rPr>
        <w:t>70.42</w:t>
      </w:r>
      <w:r>
        <w:rPr>
          <w:rFonts w:hint="eastAsia" w:ascii="Times New Roman" w:hAnsi="Times New Roman" w:eastAsia="仿宋_GB2312" w:cs="Times New Roman"/>
          <w:sz w:val="32"/>
          <w:szCs w:val="32"/>
          <w:highlight w:val="none"/>
        </w:rPr>
        <w:t>%。决算数小于年初预算数的主要原因是部分支出按规定通过其他科目列支。</w:t>
      </w:r>
    </w:p>
    <w:p w14:paraId="27AE35FA">
      <w:pPr>
        <w:pStyle w:val="15"/>
        <w:overflowPunct w:val="0"/>
        <w:autoSpaceDE/>
        <w:autoSpaceDN/>
        <w:spacing w:line="600" w:lineRule="exact"/>
        <w:ind w:firstLine="640" w:firstLineChars="200"/>
        <w:jc w:val="both"/>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 xml:space="preserve">6. </w:t>
      </w:r>
      <w:r>
        <w:rPr>
          <w:rFonts w:hint="eastAsia" w:ascii="Times New Roman" w:hAnsi="Times New Roman" w:eastAsia="仿宋_GB2312" w:cs="Times New Roman"/>
          <w:sz w:val="32"/>
          <w:szCs w:val="32"/>
          <w:highlight w:val="none"/>
        </w:rPr>
        <w:t>农林水支出（类）农业农村（款）水利工程建设（项）</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年初预算为</w:t>
      </w:r>
      <w:r>
        <w:rPr>
          <w:rFonts w:hint="eastAsia" w:ascii="Times New Roman" w:hAnsi="Times New Roman" w:eastAsia="仿宋_GB2312" w:cs="Times New Roman"/>
          <w:sz w:val="32"/>
          <w:szCs w:val="32"/>
          <w:highlight w:val="none"/>
          <w:lang w:val="en-US" w:eastAsia="zh-CN"/>
        </w:rPr>
        <w:t>0</w:t>
      </w:r>
      <w:r>
        <w:rPr>
          <w:rFonts w:hint="eastAsia" w:ascii="Times New Roman" w:hAnsi="Times New Roman" w:eastAsia="仿宋_GB2312" w:cs="Times New Roman"/>
          <w:sz w:val="32"/>
          <w:szCs w:val="32"/>
          <w:highlight w:val="none"/>
        </w:rPr>
        <w:t>万元，支出决算为</w:t>
      </w:r>
      <w:r>
        <w:rPr>
          <w:rFonts w:hint="eastAsia" w:ascii="Times New Roman" w:hAnsi="Times New Roman" w:eastAsia="仿宋_GB2312" w:cs="Times New Roman"/>
          <w:sz w:val="32"/>
          <w:szCs w:val="32"/>
          <w:highlight w:val="none"/>
          <w:lang w:val="en-US" w:eastAsia="zh-CN"/>
        </w:rPr>
        <w:t>6</w:t>
      </w:r>
      <w:r>
        <w:rPr>
          <w:rFonts w:hint="eastAsia" w:ascii="Times New Roman" w:hAnsi="Times New Roman" w:eastAsia="仿宋_GB2312" w:cs="Times New Roman"/>
          <w:sz w:val="32"/>
          <w:szCs w:val="32"/>
          <w:highlight w:val="none"/>
        </w:rPr>
        <w:t>万元决算数大于预算数主要原因是：因工作原因增加预算。</w:t>
      </w:r>
    </w:p>
    <w:p w14:paraId="6E0ADC66">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14:paraId="5C631FA2">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lang w:val="en-US" w:eastAsia="zh-CN"/>
        </w:rPr>
        <w:t>169.91</w:t>
      </w:r>
      <w:r>
        <w:rPr>
          <w:rFonts w:ascii="Times New Roman" w:hAnsi="Times New Roman" w:eastAsia="仿宋_GB2312" w:cs="Times New Roman"/>
          <w:sz w:val="32"/>
          <w:szCs w:val="32"/>
        </w:rPr>
        <w:t>万元，其中：</w:t>
      </w:r>
    </w:p>
    <w:p w14:paraId="22566361">
      <w:pPr>
        <w:pStyle w:val="15"/>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sz w:val="32"/>
          <w:szCs w:val="32"/>
          <w:lang w:val="en-US" w:eastAsia="zh-CN"/>
        </w:rPr>
        <w:t>158.36</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93.2</w:t>
      </w:r>
      <w:r>
        <w:rPr>
          <w:rFonts w:ascii="Times New Roman" w:hAnsi="Times New Roman" w:eastAsia="仿宋_GB2312" w:cs="Times New Roman"/>
          <w:sz w:val="32"/>
          <w:szCs w:val="32"/>
        </w:rPr>
        <w:t>%,主要包括基本</w:t>
      </w:r>
      <w:r>
        <w:rPr>
          <w:rFonts w:hint="eastAsia" w:ascii="Times New Roman" w:hAnsi="Times New Roman" w:eastAsia="仿宋_GB2312" w:cs="Times New Roman"/>
          <w:sz w:val="32"/>
          <w:szCs w:val="32"/>
        </w:rPr>
        <w:t>基本工资、津贴补贴、奖金、伙食补助费、绩效工资、机关事业单位基本养老保险缴费、职工基本医疗保险缴费、其他社会保障缴费、住房公积金、其他工资福利支出等。</w:t>
      </w:r>
    </w:p>
    <w:p w14:paraId="76630020">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b/>
          <w:bCs/>
          <w:sz w:val="32"/>
          <w:szCs w:val="32"/>
        </w:rPr>
        <w:t>公用经费</w:t>
      </w:r>
      <w:r>
        <w:rPr>
          <w:rFonts w:hint="eastAsia" w:ascii="Times New Roman" w:hAnsi="Times New Roman" w:eastAsia="仿宋_GB2312" w:cs="Times New Roman"/>
          <w:sz w:val="32"/>
          <w:szCs w:val="32"/>
          <w:lang w:val="en-US" w:eastAsia="zh-CN"/>
        </w:rPr>
        <w:t>11.58</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6.8</w:t>
      </w:r>
      <w:r>
        <w:rPr>
          <w:rFonts w:ascii="Times New Roman" w:hAnsi="Times New Roman" w:eastAsia="仿宋_GB2312" w:cs="Times New Roman"/>
          <w:sz w:val="32"/>
          <w:szCs w:val="32"/>
        </w:rPr>
        <w:t>%，主要包括</w:t>
      </w:r>
    </w:p>
    <w:p w14:paraId="6A22FB13">
      <w:pPr>
        <w:pStyle w:val="15"/>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hint="eastAsia" w:ascii="Times New Roman" w:hAnsi="Times New Roman" w:eastAsia="仿宋_GB2312" w:cs="Times New Roman"/>
          <w:sz w:val="32"/>
          <w:szCs w:val="32"/>
        </w:rPr>
        <w:t>办公费、电费、邮电费、差旅费、公务接待费、劳务费、福利费、</w:t>
      </w:r>
      <w:r>
        <w:rPr>
          <w:rFonts w:hint="eastAsia" w:ascii="Times New Roman" w:hAnsi="Times New Roman" w:eastAsia="仿宋_GB2312" w:cs="Times New Roman"/>
          <w:sz w:val="32"/>
          <w:szCs w:val="32"/>
          <w:lang w:val="en-US" w:eastAsia="zh-CN"/>
        </w:rPr>
        <w:t>其他交通费用</w:t>
      </w:r>
      <w:r>
        <w:rPr>
          <w:rFonts w:hint="eastAsia" w:ascii="Times New Roman" w:hAnsi="Times New Roman" w:eastAsia="仿宋_GB2312" w:cs="Times New Roman"/>
          <w:sz w:val="32"/>
          <w:szCs w:val="32"/>
        </w:rPr>
        <w:t>、其他商品和服务支出。</w:t>
      </w:r>
    </w:p>
    <w:p w14:paraId="3C13F949">
      <w:pPr>
        <w:pStyle w:val="15"/>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cs="Times New Roman"/>
          <w:bCs/>
          <w:sz w:val="32"/>
          <w:szCs w:val="32"/>
        </w:rPr>
        <w:t>七、财政拨款“三公”经费支出决算情况说明</w:t>
      </w:r>
      <w:r>
        <w:rPr>
          <w:rFonts w:ascii="Times New Roman" w:hAnsi="Times New Roman" w:eastAsia="楷体_GB2312" w:cs="Times New Roman"/>
          <w:b/>
          <w:bCs/>
          <w:i/>
          <w:color w:val="auto"/>
          <w:sz w:val="32"/>
          <w:szCs w:val="32"/>
        </w:rPr>
        <w:t>（注意：“三公”经费不再是一般公共预算财政拨款口径，而是财政拨款口径）</w:t>
      </w:r>
    </w:p>
    <w:p w14:paraId="77DA8EE7">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14:paraId="761AEDE8">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lang w:val="en-US" w:eastAsia="zh-CN"/>
        </w:rPr>
        <w:t>0.82</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0.82</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%；与上年相比增加（减少）</w:t>
      </w:r>
      <w:r>
        <w:rPr>
          <w:rFonts w:hint="eastAsia" w:ascii="Times New Roman" w:hAnsi="Times New Roman" w:eastAsia="仿宋_GB2312" w:cs="Times New Roman"/>
          <w:sz w:val="32"/>
          <w:szCs w:val="32"/>
          <w:lang w:val="en-US" w:eastAsia="zh-CN"/>
        </w:rPr>
        <w:t>0.02</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2.44</w:t>
      </w:r>
      <w:r>
        <w:rPr>
          <w:rFonts w:ascii="Times New Roman" w:hAnsi="Times New Roman" w:eastAsia="仿宋_GB2312" w:cs="Times New Roman"/>
          <w:sz w:val="32"/>
          <w:szCs w:val="32"/>
        </w:rPr>
        <w:t>%。</w:t>
      </w:r>
    </w:p>
    <w:p w14:paraId="19D302D2">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14:paraId="44E04BE9">
      <w:pPr>
        <w:pStyle w:val="15"/>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1.因公出国（境）费支出预算为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rPr>
        <w:t>全年安排因公出国（境）团组</w:t>
      </w:r>
      <w:bookmarkStart w:id="2" w:name="THERR_YGCGJFY_TZSL"/>
      <w:r>
        <w:rPr>
          <w:rFonts w:hint="eastAsia" w:ascii="Times New Roman" w:hAnsi="Times New Roman" w:eastAsia="仿宋_GB2312" w:cs="Times New Roman"/>
          <w:sz w:val="32"/>
          <w:szCs w:val="32"/>
        </w:rPr>
        <w:t>0</w:t>
      </w:r>
      <w:bookmarkEnd w:id="2"/>
      <w:r>
        <w:rPr>
          <w:rFonts w:hint="eastAsia" w:ascii="Times New Roman" w:hAnsi="Times New Roman" w:eastAsia="仿宋_GB2312" w:cs="Times New Roman"/>
          <w:sz w:val="32"/>
          <w:szCs w:val="32"/>
        </w:rPr>
        <w:t>个，累计</w:t>
      </w:r>
      <w:bookmarkStart w:id="3" w:name="THERR_YGCGJFY_TZRS"/>
      <w:r>
        <w:rPr>
          <w:rFonts w:hint="eastAsia" w:ascii="Times New Roman" w:hAnsi="Times New Roman" w:eastAsia="仿宋_GB2312" w:cs="Times New Roman"/>
          <w:sz w:val="32"/>
          <w:szCs w:val="32"/>
        </w:rPr>
        <w:t>0</w:t>
      </w:r>
      <w:bookmarkEnd w:id="3"/>
      <w:r>
        <w:rPr>
          <w:rFonts w:hint="eastAsia" w:ascii="Times New Roman" w:hAnsi="Times New Roman" w:eastAsia="仿宋_GB2312" w:cs="Times New Roman"/>
          <w:sz w:val="32"/>
          <w:szCs w:val="32"/>
        </w:rPr>
        <w:t>人次</w:t>
      </w:r>
      <w:bookmarkStart w:id="4" w:name="START_THERR_YGCGJFY_AMT"/>
      <w:bookmarkEnd w:id="4"/>
      <w:bookmarkStart w:id="5" w:name="START_THERR_YGCGJFY_AMT_1"/>
      <w:bookmarkEnd w:id="5"/>
      <w:bookmarkStart w:id="6" w:name="THERR_YGCGJFY_ZYYY"/>
      <w:bookmarkEnd w:id="6"/>
      <w:bookmarkStart w:id="7" w:name="END_THERR_YGCGJFY_AMT"/>
      <w:bookmarkEnd w:id="7"/>
      <w:bookmarkStart w:id="8" w:name="DIS_MARK_THERR_YGCGJFY_AMT"/>
      <w:bookmarkEnd w:id="8"/>
      <w:bookmarkStart w:id="9" w:name="DIS_MARK_THERR_YGCGJFY_AMT_1"/>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我</w:t>
      </w:r>
      <w:bookmarkStart w:id="10" w:name="END_DEPT30"/>
      <w:bookmarkEnd w:id="10"/>
      <w:bookmarkStart w:id="11" w:name="DIS_MARK_DIV30"/>
      <w:bookmarkEnd w:id="11"/>
      <w:bookmarkStart w:id="12" w:name="START_DIV30"/>
      <w:bookmarkEnd w:id="12"/>
      <w:bookmarkStart w:id="13" w:name="IS_DEPT30"/>
      <w:bookmarkEnd w:id="13"/>
      <w:bookmarkStart w:id="14" w:name="START_DEPT30"/>
      <w:bookmarkEnd w:id="14"/>
      <w:bookmarkStart w:id="15" w:name="END_DIV30"/>
      <w:bookmarkEnd w:id="15"/>
      <w:r>
        <w:rPr>
          <w:rFonts w:hint="eastAsia" w:ascii="Times New Roman" w:hAnsi="Times New Roman" w:eastAsia="仿宋_GB2312" w:cs="Times New Roman"/>
          <w:sz w:val="32"/>
          <w:szCs w:val="32"/>
          <w:lang w:val="en-US" w:eastAsia="zh-CN"/>
        </w:rPr>
        <w:t>单位</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年度无</w:t>
      </w:r>
      <w:r>
        <w:rPr>
          <w:rFonts w:hint="eastAsia" w:ascii="Times New Roman" w:hAnsi="Times New Roman" w:eastAsia="仿宋_GB2312" w:cs="Times New Roman"/>
          <w:sz w:val="32"/>
          <w:szCs w:val="32"/>
        </w:rPr>
        <w:t>因公出国（境）费</w:t>
      </w:r>
      <w:r>
        <w:rPr>
          <w:rFonts w:ascii="Times New Roman" w:hAnsi="Times New Roman" w:eastAsia="仿宋_GB2312" w:cs="Times New Roman"/>
          <w:sz w:val="32"/>
          <w:szCs w:val="32"/>
        </w:rPr>
        <w:t>支出</w:t>
      </w:r>
      <w:bookmarkEnd w:id="9"/>
      <w:bookmarkStart w:id="16" w:name="END_THERR_YGCGJFY_AMT_1"/>
      <w:bookmarkEnd w:id="16"/>
      <w:r>
        <w:rPr>
          <w:rFonts w:hint="eastAsia" w:ascii="Times New Roman" w:hAnsi="Times New Roman" w:eastAsia="仿宋_GB2312" w:cs="Times New Roman"/>
          <w:sz w:val="32"/>
          <w:szCs w:val="32"/>
        </w:rPr>
        <w:t>。</w:t>
      </w:r>
    </w:p>
    <w:p w14:paraId="0A801513">
      <w:pPr>
        <w:pStyle w:val="15"/>
        <w:overflowPunct w:val="0"/>
        <w:autoSpaceDE/>
        <w:autoSpaceDN/>
        <w:spacing w:line="600" w:lineRule="exact"/>
        <w:ind w:firstLine="640" w:firstLineChars="200"/>
        <w:jc w:val="both"/>
        <w:rPr>
          <w:rFonts w:ascii="Times New Roman" w:hAnsi="Times New Roman" w:eastAsia="楷体" w:cs="Times New Roman"/>
          <w:b/>
          <w:bCs/>
          <w:i/>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公务用车购置费及运行维护费支出决算为</w:t>
      </w:r>
      <w:bookmarkStart w:id="17" w:name="THERR_GWYCGZJYXWHF_AMT"/>
      <w:r>
        <w:rPr>
          <w:rFonts w:hint="eastAsia" w:ascii="Times New Roman" w:hAnsi="Times New Roman" w:eastAsia="仿宋_GB2312" w:cs="Times New Roman"/>
          <w:sz w:val="32"/>
          <w:szCs w:val="32"/>
        </w:rPr>
        <w:t>0.00</w:t>
      </w:r>
      <w:bookmarkEnd w:id="17"/>
      <w:r>
        <w:rPr>
          <w:rFonts w:hint="eastAsia" w:ascii="Times New Roman" w:hAnsi="Times New Roman" w:eastAsia="仿宋_GB2312" w:cs="Times New Roman"/>
          <w:sz w:val="32"/>
          <w:szCs w:val="32"/>
        </w:rPr>
        <w:t>万元，其中：公务用车购置费</w:t>
      </w:r>
      <w:bookmarkStart w:id="18" w:name="THERR_30913_31013_AMT"/>
      <w:r>
        <w:rPr>
          <w:rFonts w:hint="eastAsia" w:ascii="Times New Roman" w:hAnsi="Times New Roman" w:eastAsia="仿宋_GB2312" w:cs="Times New Roman"/>
          <w:sz w:val="32"/>
          <w:szCs w:val="32"/>
        </w:rPr>
        <w:t>0.00</w:t>
      </w:r>
      <w:bookmarkEnd w:id="18"/>
      <w:r>
        <w:rPr>
          <w:rFonts w:hint="eastAsia" w:ascii="Times New Roman" w:hAnsi="Times New Roman" w:eastAsia="仿宋_GB2312" w:cs="Times New Roman"/>
          <w:sz w:val="32"/>
          <w:szCs w:val="32"/>
        </w:rPr>
        <w:t>万元，</w:t>
      </w:r>
      <w:bookmarkStart w:id="19" w:name="DIS_MARK_THERR_GWYCGZJYXWHF_AMT_1"/>
      <w:bookmarkEnd w:id="19"/>
      <w:bookmarkStart w:id="20" w:name="START_THERR_GWYCGZJYXWHF_AMT_1"/>
      <w:bookmarkEnd w:id="20"/>
      <w:bookmarkStart w:id="21" w:name="END_THERR_GWYCGZJYXWHF_AMT_1"/>
      <w:bookmarkEnd w:id="21"/>
      <w:bookmarkStart w:id="22" w:name="START_THERR_GWYCGZJYXWHF_AMT_2"/>
      <w:bookmarkEnd w:id="22"/>
      <w:bookmarkStart w:id="23" w:name="DIS_MARK_THERR_GWYCGZJYXWHF_AMT_2"/>
      <w:r>
        <w:rPr>
          <w:rFonts w:ascii="Times New Roman" w:hAnsi="Times New Roman" w:eastAsia="仿宋_GB2312" w:cs="Times New Roman"/>
          <w:sz w:val="32"/>
          <w:szCs w:val="32"/>
        </w:rPr>
        <w:t>无</w:t>
      </w:r>
      <w:r>
        <w:rPr>
          <w:rFonts w:hint="eastAsia" w:ascii="Times New Roman" w:hAnsi="Times New Roman" w:eastAsia="仿宋_GB2312" w:cs="Times New Roman"/>
          <w:sz w:val="32"/>
          <w:szCs w:val="32"/>
        </w:rPr>
        <w:t>更新公务用车</w:t>
      </w:r>
      <w:bookmarkEnd w:id="23"/>
      <w:bookmarkStart w:id="24" w:name="END_THERR_GWYCGZJYXWHF_AMT_2"/>
      <w:bookmarkEnd w:id="24"/>
      <w:r>
        <w:rPr>
          <w:rFonts w:hint="eastAsia" w:ascii="Times New Roman" w:hAnsi="Times New Roman" w:eastAsia="仿宋_GB2312" w:cs="Times New Roman"/>
          <w:sz w:val="32"/>
          <w:szCs w:val="32"/>
        </w:rPr>
        <w:t>。公务用车运行维护费</w:t>
      </w:r>
      <w:bookmarkStart w:id="25" w:name="THERR_30231_AMT"/>
      <w:r>
        <w:rPr>
          <w:rFonts w:hint="eastAsia" w:ascii="Times New Roman" w:hAnsi="Times New Roman" w:eastAsia="仿宋_GB2312" w:cs="Times New Roman"/>
          <w:sz w:val="32"/>
          <w:szCs w:val="32"/>
        </w:rPr>
        <w:t>0.00</w:t>
      </w:r>
      <w:bookmarkEnd w:id="25"/>
      <w:r>
        <w:rPr>
          <w:rFonts w:hint="eastAsia" w:ascii="Times New Roman" w:hAnsi="Times New Roman" w:eastAsia="仿宋_GB2312" w:cs="Times New Roman"/>
          <w:sz w:val="32"/>
          <w:szCs w:val="32"/>
        </w:rPr>
        <w:t>万元，</w:t>
      </w:r>
      <w:bookmarkStart w:id="26" w:name="END_THERR_GWYCGZJYXWHF_AMT"/>
      <w:bookmarkEnd w:id="26"/>
      <w:bookmarkStart w:id="27" w:name="DIS_MARK_THERR_GWYCGZJYXWHF_AMT"/>
      <w:bookmarkEnd w:id="27"/>
      <w:bookmarkStart w:id="28" w:name="START_THERR_GWYCGZJYXWHF_AMT"/>
      <w:bookmarkEnd w:id="28"/>
      <w:r>
        <w:rPr>
          <w:rFonts w:hint="eastAsia" w:ascii="Times New Roman" w:hAnsi="Times New Roman" w:eastAsia="仿宋_GB2312" w:cs="Times New Roman"/>
          <w:sz w:val="32"/>
          <w:szCs w:val="32"/>
        </w:rPr>
        <w:t>截止202</w:t>
      </w: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rPr>
        <w:t>年12月31日，我单位开支财政拨款的公务用车保有量为</w:t>
      </w:r>
      <w:bookmarkStart w:id="29" w:name="THERR_GWYCGZJYXWHF_SJCLS"/>
      <w:r>
        <w:rPr>
          <w:rFonts w:hint="eastAsia" w:ascii="Times New Roman" w:hAnsi="Times New Roman" w:eastAsia="仿宋_GB2312" w:cs="Times New Roman"/>
          <w:sz w:val="32"/>
          <w:szCs w:val="32"/>
        </w:rPr>
        <w:t>0</w:t>
      </w:r>
      <w:bookmarkEnd w:id="29"/>
      <w:r>
        <w:rPr>
          <w:rFonts w:hint="eastAsia" w:ascii="Times New Roman" w:hAnsi="Times New Roman" w:eastAsia="仿宋_GB2312" w:cs="Times New Roman"/>
          <w:sz w:val="32"/>
          <w:szCs w:val="32"/>
        </w:rPr>
        <w:t>辆。</w:t>
      </w:r>
      <w:bookmarkStart w:id="30" w:name="START_THERR_GWYCGZJYXWHF_AMT_0"/>
      <w:bookmarkEnd w:id="30"/>
      <w:bookmarkStart w:id="31" w:name="DIS_MARK_THERR_GWYCGZJYXWHF_AMT_0"/>
      <w:r>
        <w:rPr>
          <w:rFonts w:hint="eastAsia" w:ascii="Times New Roman" w:hAnsi="Times New Roman" w:eastAsia="仿宋_GB2312" w:cs="Times New Roman"/>
          <w:sz w:val="32"/>
          <w:szCs w:val="32"/>
        </w:rPr>
        <w:t>我</w:t>
      </w:r>
      <w:bookmarkStart w:id="32" w:name="IS_DEPT11"/>
      <w:bookmarkEnd w:id="32"/>
      <w:bookmarkStart w:id="33" w:name="START_DEPT11"/>
      <w:bookmarkEnd w:id="33"/>
      <w:bookmarkStart w:id="34" w:name="DIS_MARK_DEPT11"/>
      <w:r>
        <w:rPr>
          <w:rFonts w:hint="eastAsia" w:ascii="Times New Roman" w:hAnsi="Times New Roman" w:eastAsia="仿宋_GB2312" w:cs="Times New Roman"/>
          <w:sz w:val="32"/>
          <w:szCs w:val="32"/>
        </w:rPr>
        <w:t>部门</w:t>
      </w:r>
      <w:bookmarkEnd w:id="34"/>
      <w:bookmarkStart w:id="35" w:name="END_DEPT11"/>
      <w:bookmarkEnd w:id="35"/>
      <w:bookmarkStart w:id="36" w:name="START_DIV11"/>
      <w:bookmarkEnd w:id="36"/>
      <w:bookmarkStart w:id="37" w:name="END_DIV11"/>
      <w:bookmarkEnd w:id="37"/>
      <w:bookmarkStart w:id="38" w:name="DIS_MARK_DIV11"/>
      <w:bookmarkEnd w:id="38"/>
      <w:r>
        <w:rPr>
          <w:rFonts w:hint="eastAsia"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rPr>
        <w:t>年度无公务用车购置费及运行维护费支出。</w:t>
      </w:r>
      <w:bookmarkEnd w:id="31"/>
    </w:p>
    <w:p w14:paraId="2574DE37">
      <w:pPr>
        <w:pStyle w:val="15"/>
        <w:overflowPunct w:val="0"/>
        <w:autoSpaceDE/>
        <w:autoSpaceDN/>
        <w:spacing w:line="600" w:lineRule="exact"/>
        <w:ind w:firstLine="640" w:firstLineChars="200"/>
        <w:jc w:val="both"/>
        <w:rPr>
          <w:rFonts w:ascii="Times New Roman" w:hAnsi="Times New Roman" w:eastAsia="仿宋_GB2312" w:cs="Times New Roman"/>
          <w:color w:val="0000FF"/>
          <w:sz w:val="32"/>
          <w:szCs w:val="32"/>
        </w:rPr>
      </w:pPr>
      <w:r>
        <w:rPr>
          <w:rFonts w:ascii="Times New Roman" w:hAnsi="Times New Roman" w:eastAsia="仿宋_GB2312" w:cs="Times New Roman"/>
          <w:sz w:val="32"/>
          <w:szCs w:val="32"/>
        </w:rPr>
        <w:t>公务接待费支出预算为</w:t>
      </w:r>
      <w:r>
        <w:rPr>
          <w:rFonts w:hint="eastAsia" w:ascii="Times New Roman" w:hAnsi="Times New Roman" w:eastAsia="仿宋_GB2312" w:cs="Times New Roman"/>
          <w:sz w:val="32"/>
          <w:szCs w:val="32"/>
          <w:lang w:val="en-US" w:eastAsia="zh-CN"/>
        </w:rPr>
        <w:t>0.82</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0.82</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0.02</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2.4%</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大于</w:t>
      </w:r>
      <w:r>
        <w:rPr>
          <w:rFonts w:ascii="Times New Roman" w:hAnsi="Times New Roman" w:eastAsia="仿宋_GB2312" w:cs="Times New Roman"/>
          <w:sz w:val="32"/>
          <w:szCs w:val="32"/>
        </w:rPr>
        <w:t>上年数的主要原因是</w:t>
      </w:r>
      <w:r>
        <w:rPr>
          <w:rFonts w:hint="eastAsia" w:ascii="Times New Roman" w:hAnsi="Times New Roman" w:eastAsia="仿宋_GB2312" w:cs="Times New Roman"/>
          <w:sz w:val="32"/>
          <w:szCs w:val="32"/>
          <w:lang w:val="en-US" w:eastAsia="zh-CN"/>
        </w:rPr>
        <w:t>2024年新增一个大型项目，项目检查次数增多</w:t>
      </w:r>
      <w:r>
        <w:rPr>
          <w:rFonts w:ascii="Times New Roman" w:hAnsi="Times New Roman" w:eastAsia="仿宋_GB2312" w:cs="Times New Roman"/>
          <w:sz w:val="32"/>
          <w:szCs w:val="32"/>
        </w:rPr>
        <w:t>。</w:t>
      </w:r>
      <w:r>
        <w:rPr>
          <w:rFonts w:ascii="Times New Roman" w:hAnsi="Times New Roman" w:eastAsia="仿宋_GB2312" w:cs="Times New Roman"/>
          <w:color w:val="auto"/>
          <w:sz w:val="32"/>
          <w:szCs w:val="32"/>
        </w:rPr>
        <w:t>2024年度共接待来访团组</w:t>
      </w:r>
      <w:r>
        <w:rPr>
          <w:rFonts w:hint="eastAsia" w:ascii="Times New Roman" w:hAnsi="Times New Roman" w:eastAsia="仿宋_GB2312" w:cs="Times New Roman"/>
          <w:color w:val="auto"/>
          <w:sz w:val="32"/>
          <w:szCs w:val="32"/>
          <w:lang w:val="en-US" w:eastAsia="zh-CN"/>
        </w:rPr>
        <w:t>9</w:t>
      </w:r>
      <w:r>
        <w:rPr>
          <w:rFonts w:ascii="Times New Roman" w:hAnsi="Times New Roman" w:eastAsia="仿宋_GB2312" w:cs="Times New Roman"/>
          <w:color w:val="auto"/>
          <w:sz w:val="32"/>
          <w:szCs w:val="32"/>
        </w:rPr>
        <w:t>个、来宾</w:t>
      </w:r>
      <w:r>
        <w:rPr>
          <w:rFonts w:hint="eastAsia" w:ascii="Times New Roman" w:hAnsi="Times New Roman" w:eastAsia="仿宋_GB2312" w:cs="Times New Roman"/>
          <w:color w:val="auto"/>
          <w:sz w:val="32"/>
          <w:szCs w:val="32"/>
          <w:lang w:val="en-US" w:eastAsia="zh-CN"/>
        </w:rPr>
        <w:t>80</w:t>
      </w:r>
      <w:r>
        <w:rPr>
          <w:rFonts w:ascii="Times New Roman" w:hAnsi="Times New Roman" w:eastAsia="仿宋_GB2312" w:cs="Times New Roman"/>
          <w:color w:val="auto"/>
          <w:sz w:val="32"/>
          <w:szCs w:val="32"/>
        </w:rPr>
        <w:t>人次（精确到个位数），主要是</w:t>
      </w:r>
      <w:r>
        <w:rPr>
          <w:rFonts w:hint="eastAsia" w:ascii="Times New Roman" w:hAnsi="Times New Roman" w:eastAsia="仿宋_GB2312" w:cs="Times New Roman"/>
          <w:color w:val="auto"/>
          <w:sz w:val="32"/>
          <w:szCs w:val="32"/>
          <w:lang w:val="en-US" w:eastAsia="zh-CN"/>
        </w:rPr>
        <w:t>项目检查等</w:t>
      </w:r>
      <w:r>
        <w:rPr>
          <w:rFonts w:ascii="Times New Roman" w:hAnsi="Times New Roman" w:eastAsia="仿宋_GB2312" w:cs="Times New Roman"/>
          <w:color w:val="auto"/>
          <w:sz w:val="32"/>
          <w:szCs w:val="32"/>
        </w:rPr>
        <w:t>发生的接待支出。</w:t>
      </w:r>
    </w:p>
    <w:p w14:paraId="4F283BEE">
      <w:pPr>
        <w:pStyle w:val="15"/>
        <w:numPr>
          <w:ilvl w:val="0"/>
          <w:numId w:val="0"/>
        </w:numPr>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14:paraId="36BEE8CE">
      <w:pPr>
        <w:pStyle w:val="15"/>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2024年度政府性基金预算财政拨款收入</w:t>
      </w:r>
      <w:r>
        <w:rPr>
          <w:rFonts w:hint="eastAsia" w:ascii="Times New Roman" w:hAnsi="Times New Roman" w:eastAsia="仿宋_GB2312" w:cs="Times New Roman"/>
          <w:sz w:val="32"/>
          <w:szCs w:val="32"/>
        </w:rPr>
        <w:t>797</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rPr>
        <w:t>36</w:t>
      </w:r>
      <w:r>
        <w:rPr>
          <w:rFonts w:ascii="Times New Roman" w:hAnsi="Times New Roman" w:eastAsia="仿宋_GB2312" w:cs="Times New Roman"/>
          <w:sz w:val="32"/>
          <w:szCs w:val="32"/>
        </w:rPr>
        <w:t>万元；年初结转和结余</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w:t>
      </w:r>
      <w:r>
        <w:rPr>
          <w:rFonts w:hint="eastAsia" w:ascii="Times New Roman" w:hAnsi="Times New Roman" w:eastAsia="仿宋_GB2312" w:cs="Times New Roman"/>
          <w:sz w:val="32"/>
          <w:szCs w:val="32"/>
        </w:rPr>
        <w:t>797</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rPr>
        <w:t>36</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万元，项目支出</w:t>
      </w:r>
      <w:r>
        <w:rPr>
          <w:rFonts w:hint="eastAsia" w:ascii="Times New Roman" w:hAnsi="Times New Roman" w:eastAsia="仿宋_GB2312" w:cs="Times New Roman"/>
          <w:sz w:val="32"/>
          <w:szCs w:val="32"/>
        </w:rPr>
        <w:t>797</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rPr>
        <w:t>36</w:t>
      </w:r>
      <w:r>
        <w:rPr>
          <w:rFonts w:ascii="Times New Roman" w:hAnsi="Times New Roman" w:eastAsia="仿宋_GB2312" w:cs="Times New Roman"/>
          <w:sz w:val="32"/>
          <w:szCs w:val="32"/>
        </w:rPr>
        <w:t>万元；年末结转和结余</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万元。具体情况如下：</w:t>
      </w:r>
    </w:p>
    <w:p w14:paraId="26B7B74F">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移民补助</w:t>
      </w:r>
      <w:r>
        <w:rPr>
          <w:rFonts w:ascii="Times New Roman" w:hAnsi="Times New Roman" w:eastAsia="仿宋_GB2312" w:cs="Times New Roman"/>
          <w:sz w:val="32"/>
          <w:szCs w:val="32"/>
        </w:rPr>
        <w:t>。</w:t>
      </w:r>
    </w:p>
    <w:p w14:paraId="52C19284">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rPr>
        <w:t>759</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rPr>
        <w:t>36</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759</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rPr>
        <w:t>36</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p>
    <w:p w14:paraId="6D04DC6A">
      <w:pPr>
        <w:pStyle w:val="15"/>
        <w:numPr>
          <w:ilvl w:val="0"/>
          <w:numId w:val="2"/>
        </w:numP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基础设施建设和经济发展</w:t>
      </w:r>
      <w:r>
        <w:rPr>
          <w:rFonts w:ascii="Times New Roman" w:hAnsi="Times New Roman" w:eastAsia="仿宋_GB2312" w:cs="Times New Roman"/>
          <w:sz w:val="32"/>
          <w:szCs w:val="32"/>
        </w:rPr>
        <w:t>。</w:t>
      </w:r>
    </w:p>
    <w:p w14:paraId="34ECA37A">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38</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38</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p>
    <w:p w14:paraId="53EA3B94">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14:paraId="731C76D9">
      <w:pPr>
        <w:pStyle w:val="15"/>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本部门2024年度机关运行经费支出</w:t>
      </w:r>
      <w:r>
        <w:rPr>
          <w:rFonts w:hint="eastAsia" w:ascii="Times New Roman" w:hAnsi="Times New Roman" w:eastAsia="仿宋_GB2312" w:cs="Times New Roman"/>
          <w:sz w:val="32"/>
          <w:szCs w:val="32"/>
          <w:lang w:val="en-US" w:eastAsia="zh-CN"/>
        </w:rPr>
        <w:t>11.58</w:t>
      </w:r>
      <w:r>
        <w:rPr>
          <w:rFonts w:ascii="Times New Roman" w:hAnsi="Times New Roman" w:eastAsia="仿宋_GB2312" w:cs="Times New Roman"/>
          <w:sz w:val="32"/>
          <w:szCs w:val="32"/>
        </w:rPr>
        <w:t>万元，比上年决算数减少</w:t>
      </w:r>
      <w:r>
        <w:rPr>
          <w:rFonts w:hint="eastAsia" w:ascii="Times New Roman" w:hAnsi="Times New Roman" w:eastAsia="仿宋_GB2312" w:cs="Times New Roman"/>
          <w:sz w:val="32"/>
          <w:szCs w:val="32"/>
          <w:lang w:val="en-US" w:eastAsia="zh-CN"/>
        </w:rPr>
        <w:t>0.5</w:t>
      </w:r>
      <w:r>
        <w:rPr>
          <w:rFonts w:ascii="Times New Roman" w:hAnsi="Times New Roman" w:eastAsia="仿宋_GB2312" w:cs="Times New Roman"/>
          <w:sz w:val="32"/>
          <w:szCs w:val="32"/>
        </w:rPr>
        <w:t xml:space="preserve"> 万元，降低</w:t>
      </w:r>
      <w:r>
        <w:rPr>
          <w:rFonts w:hint="eastAsia" w:ascii="Times New Roman" w:hAnsi="Times New Roman" w:eastAsia="仿宋_GB2312" w:cs="Times New Roman"/>
          <w:sz w:val="32"/>
          <w:szCs w:val="32"/>
          <w:lang w:val="en-US" w:eastAsia="zh-CN"/>
        </w:rPr>
        <w:t>4.3</w:t>
      </w:r>
      <w:r>
        <w:rPr>
          <w:rFonts w:ascii="Times New Roman" w:hAnsi="Times New Roman" w:eastAsia="仿宋_GB2312" w:cs="Times New Roman"/>
          <w:sz w:val="32"/>
          <w:szCs w:val="32"/>
        </w:rPr>
        <w:t>%。主要原因是：</w:t>
      </w:r>
      <w:r>
        <w:rPr>
          <w:rFonts w:hint="eastAsia" w:ascii="Times New Roman" w:hAnsi="Times New Roman" w:eastAsia="仿宋_GB2312" w:cs="Times New Roman"/>
          <w:sz w:val="32"/>
          <w:szCs w:val="32"/>
          <w:lang w:val="en-US" w:eastAsia="zh-CN"/>
        </w:rPr>
        <w:t>严格执行厉行节约要求，压缩机关经费支出。</w:t>
      </w:r>
    </w:p>
    <w:p w14:paraId="2C9DDD15">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14:paraId="400EB465">
      <w:pPr>
        <w:pStyle w:val="15"/>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2024年本部门开支会议费</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p>
    <w:p w14:paraId="29C63D3F">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14:paraId="5C049CF1">
      <w:pPr>
        <w:ind w:firstLine="640" w:firstLineChars="200"/>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本部门2024年度政府采购支出总额672.56万元，其中：政府采购货物支出5.26 万元、政府采购工程支出325.16万元、政府采购服务支出342.14万元。授予中小企业合同金额</w:t>
      </w:r>
      <w:r>
        <w:rPr>
          <w:rFonts w:hint="eastAsia" w:ascii="Times New Roman" w:hAnsi="Times New Roman" w:eastAsia="仿宋_GB2312" w:cs="Times New Roman"/>
          <w:color w:val="auto"/>
          <w:sz w:val="32"/>
          <w:szCs w:val="32"/>
          <w:lang w:val="en-US" w:eastAsia="zh-CN"/>
        </w:rPr>
        <w:t>656.48</w:t>
      </w:r>
      <w:r>
        <w:rPr>
          <w:rFonts w:hint="eastAsia" w:ascii="Times New Roman" w:hAnsi="Times New Roman" w:eastAsia="仿宋_GB2312" w:cs="Times New Roman"/>
          <w:color w:val="auto"/>
          <w:sz w:val="32"/>
          <w:szCs w:val="32"/>
        </w:rPr>
        <w:t>万元，占政府采购支出总额的</w:t>
      </w:r>
      <w:r>
        <w:rPr>
          <w:rFonts w:hint="eastAsia" w:ascii="Times New Roman" w:hAnsi="Times New Roman" w:eastAsia="仿宋_GB2312" w:cs="Times New Roman"/>
          <w:color w:val="auto"/>
          <w:sz w:val="32"/>
          <w:szCs w:val="32"/>
          <w:lang w:val="en-US" w:eastAsia="zh-CN"/>
        </w:rPr>
        <w:t>97.6</w:t>
      </w:r>
      <w:r>
        <w:rPr>
          <w:rFonts w:hint="eastAsia" w:ascii="Times New Roman" w:hAnsi="Times New Roman" w:eastAsia="仿宋_GB2312" w:cs="Times New Roman"/>
          <w:color w:val="auto"/>
          <w:sz w:val="32"/>
          <w:szCs w:val="32"/>
        </w:rPr>
        <w:t>%，其中：授予小微企业合同金额</w:t>
      </w:r>
      <w:r>
        <w:rPr>
          <w:rFonts w:hint="eastAsia" w:ascii="Times New Roman" w:hAnsi="Times New Roman" w:eastAsia="仿宋_GB2312" w:cs="Times New Roman"/>
          <w:color w:val="auto"/>
          <w:sz w:val="32"/>
          <w:szCs w:val="32"/>
          <w:lang w:val="en-US" w:eastAsia="zh-CN"/>
        </w:rPr>
        <w:t>656.21</w:t>
      </w:r>
      <w:r>
        <w:rPr>
          <w:rFonts w:hint="eastAsia" w:ascii="Times New Roman" w:hAnsi="Times New Roman" w:eastAsia="仿宋_GB2312" w:cs="Times New Roman"/>
          <w:color w:val="auto"/>
          <w:sz w:val="32"/>
          <w:szCs w:val="32"/>
        </w:rPr>
        <w:t>万元，占授予中小企业合同金额的</w:t>
      </w:r>
      <w:r>
        <w:rPr>
          <w:rFonts w:hint="eastAsia" w:ascii="Times New Roman" w:hAnsi="Times New Roman" w:eastAsia="仿宋_GB2312" w:cs="Times New Roman"/>
          <w:color w:val="auto"/>
          <w:sz w:val="32"/>
          <w:szCs w:val="32"/>
          <w:lang w:val="en-US" w:eastAsia="zh-CN"/>
        </w:rPr>
        <w:t>99.95</w:t>
      </w:r>
      <w:r>
        <w:rPr>
          <w:rFonts w:hint="eastAsia" w:ascii="Times New Roman" w:hAnsi="Times New Roman" w:eastAsia="仿宋_GB2312" w:cs="Times New Roman"/>
          <w:color w:val="auto"/>
          <w:sz w:val="32"/>
          <w:szCs w:val="32"/>
        </w:rPr>
        <w:t>%。货物采购授予中小企业合同金额占货物支出金额的</w:t>
      </w:r>
      <w:r>
        <w:rPr>
          <w:rFonts w:hint="eastAsia" w:ascii="Times New Roman" w:hAnsi="Times New Roman" w:eastAsia="仿宋_GB2312" w:cs="Times New Roman"/>
          <w:color w:val="auto"/>
          <w:sz w:val="32"/>
          <w:szCs w:val="32"/>
          <w:lang w:val="en-US" w:eastAsia="zh-CN"/>
        </w:rPr>
        <w:t>0.08</w:t>
      </w:r>
      <w:r>
        <w:rPr>
          <w:rFonts w:hint="eastAsia" w:ascii="Times New Roman" w:hAnsi="Times New Roman" w:eastAsia="仿宋_GB2312" w:cs="Times New Roman"/>
          <w:color w:val="auto"/>
          <w:sz w:val="32"/>
          <w:szCs w:val="32"/>
        </w:rPr>
        <w:t>%，工程采购授予中小企业合同金额占工程支出金额的</w:t>
      </w:r>
      <w:r>
        <w:rPr>
          <w:rFonts w:hint="eastAsia" w:ascii="Times New Roman" w:hAnsi="Times New Roman" w:eastAsia="仿宋_GB2312" w:cs="Times New Roman"/>
          <w:color w:val="auto"/>
          <w:sz w:val="32"/>
          <w:szCs w:val="32"/>
          <w:lang w:val="en-US" w:eastAsia="zh-CN"/>
        </w:rPr>
        <w:t>49.53</w:t>
      </w:r>
      <w:r>
        <w:rPr>
          <w:rFonts w:hint="eastAsia" w:ascii="Times New Roman" w:hAnsi="Times New Roman" w:eastAsia="仿宋_GB2312" w:cs="Times New Roman"/>
          <w:color w:val="auto"/>
          <w:sz w:val="32"/>
          <w:szCs w:val="32"/>
        </w:rPr>
        <w:t>%，服务采购授予中小企业合同金额占服务支出金额的</w:t>
      </w:r>
      <w:r>
        <w:rPr>
          <w:rFonts w:hint="eastAsia" w:ascii="Times New Roman" w:hAnsi="Times New Roman" w:eastAsia="仿宋_GB2312" w:cs="Times New Roman"/>
          <w:color w:val="auto"/>
          <w:sz w:val="32"/>
          <w:szCs w:val="32"/>
          <w:lang w:val="en-US" w:eastAsia="zh-CN"/>
        </w:rPr>
        <w:t>50.39</w:t>
      </w:r>
      <w:r>
        <w:rPr>
          <w:rFonts w:hint="eastAsia" w:ascii="Times New Roman" w:hAnsi="Times New Roman" w:eastAsia="仿宋_GB2312" w:cs="Times New Roman"/>
          <w:color w:val="auto"/>
          <w:sz w:val="32"/>
          <w:szCs w:val="32"/>
        </w:rPr>
        <w:t>%。</w:t>
      </w:r>
    </w:p>
    <w:p w14:paraId="4E67B2EF">
      <w:pPr>
        <w:pStyle w:val="15"/>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楷体_GB2312" w:cs="Times New Roman"/>
          <w:b/>
          <w:bCs/>
          <w:i/>
          <w:color w:val="auto"/>
          <w:sz w:val="32"/>
          <w:szCs w:val="32"/>
        </w:rPr>
        <w:t>（政府采购金额的计算口径为：本部门纳入2024年度部门预算范围的各项政府采购支出金额之和，不包括涉密采购项目的支出金额）</w:t>
      </w:r>
    </w:p>
    <w:p w14:paraId="7ED7AAAB">
      <w:pPr>
        <w:pStyle w:val="15"/>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14:paraId="003829B1">
      <w:pPr>
        <w:pStyle w:val="15"/>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截至2024年12月31日，部门（单位）共有车辆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辆，其中，副部（省）级及以上领导用车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辆、主要负责人用车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辆、机要通信用车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辆、应急保障用车XX辆、执法执勤用车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辆、特种专业技术用车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辆、离退休干部服务用车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辆、其他用车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辆，单位价值100万元以上设备（不含车辆）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台（套）。</w:t>
      </w:r>
    </w:p>
    <w:p w14:paraId="258F9D43">
      <w:pPr>
        <w:pStyle w:val="15"/>
        <w:keepNext w:val="0"/>
        <w:keepLines w:val="0"/>
        <w:pageBreakBefore w:val="0"/>
        <w:widowControl w:val="0"/>
        <w:numPr>
          <w:ilvl w:val="0"/>
          <w:numId w:val="3"/>
        </w:numPr>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lang w:val="en-US" w:eastAsia="zh-CN"/>
        </w:rPr>
      </w:pPr>
      <w:r>
        <w:rPr>
          <w:rFonts w:ascii="Times New Roman" w:hAnsi="Times New Roman" w:cs="Times New Roman"/>
          <w:bCs/>
          <w:color w:val="auto"/>
          <w:sz w:val="32"/>
          <w:szCs w:val="32"/>
        </w:rPr>
        <w:t>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bookmarkStart w:id="39" w:name="YSJX_GZKZ_QKSM"/>
    </w:p>
    <w:p w14:paraId="7B14ABA1">
      <w:pPr>
        <w:pStyle w:val="15"/>
        <w:keepNext w:val="0"/>
        <w:keepLines w:val="0"/>
        <w:pageBreakBefore w:val="0"/>
        <w:widowControl w:val="0"/>
        <w:numPr>
          <w:ilvl w:val="0"/>
          <w:numId w:val="0"/>
        </w:numPr>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eastAsia="zh-CN"/>
        </w:rPr>
        <w:t>（一）绩效管理工作开展情况</w:t>
      </w:r>
      <w:r>
        <w:rPr>
          <w:rFonts w:hint="eastAsia" w:ascii="楷体" w:hAnsi="楷体" w:eastAsia="楷体" w:cs="楷体"/>
          <w:b/>
          <w:bCs/>
          <w:sz w:val="32"/>
          <w:szCs w:val="32"/>
          <w:lang w:val="en-US" w:eastAsia="zh-CN"/>
        </w:rPr>
        <w:t xml:space="preserve"> </w:t>
      </w:r>
    </w:p>
    <w:p w14:paraId="3E1EC5DA">
      <w:pPr>
        <w:keepNext w:val="0"/>
        <w:keepLines w:val="0"/>
        <w:pageBreakBefore w:val="0"/>
        <w:widowControl/>
        <w:shd w:val="clear" w:color="auto" w:fill="FFFFFF"/>
        <w:kinsoku/>
        <w:wordWrap/>
        <w:overflowPunct/>
        <w:topLinePunct w:val="0"/>
        <w:autoSpaceDE/>
        <w:autoSpaceDN/>
        <w:bidi w:val="0"/>
        <w:adjustRightInd/>
        <w:snapToGrid/>
        <w:spacing w:line="576" w:lineRule="exact"/>
        <w:ind w:left="0" w:leftChars="0" w:firstLine="729" w:firstLineChars="228"/>
        <w:jc w:val="both"/>
        <w:rPr>
          <w:rFonts w:hint="default"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本单位整体支出绩效目标实现情况。我单位严格按照年初预算进行部门整体支出，真对照评估指标，按照年度工作计划扎实推进2024年度财政支出绩效自评工作。</w:t>
      </w:r>
    </w:p>
    <w:p w14:paraId="4C9CFEB4">
      <w:pPr>
        <w:pStyle w:val="15"/>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（二）部门整体支出绩效情况</w:t>
      </w:r>
    </w:p>
    <w:p w14:paraId="05D67759">
      <w:pPr>
        <w:keepNext w:val="0"/>
        <w:keepLines w:val="0"/>
        <w:pageBreakBefore w:val="0"/>
        <w:widowControl/>
        <w:shd w:val="clear" w:color="auto" w:fill="FFFFFF"/>
        <w:kinsoku/>
        <w:wordWrap/>
        <w:overflowPunct/>
        <w:topLinePunct w:val="0"/>
        <w:autoSpaceDE/>
        <w:autoSpaceDN/>
        <w:bidi w:val="0"/>
        <w:adjustRightInd/>
        <w:snapToGrid/>
        <w:spacing w:line="576" w:lineRule="exact"/>
        <w:ind w:left="0" w:leftChars="0" w:firstLine="729" w:firstLineChars="228"/>
        <w:jc w:val="both"/>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2024年，上级部门对市库区移民事务中心绩效考核工作有：一是重点民生实事，二是移民产业开发项目，三是移民培训，四是移民资金管理。</w:t>
      </w:r>
    </w:p>
    <w:p w14:paraId="78054E03">
      <w:pPr>
        <w:keepNext w:val="0"/>
        <w:keepLines w:val="0"/>
        <w:pageBreakBefore w:val="0"/>
        <w:widowControl/>
        <w:shd w:val="clear" w:color="auto" w:fill="FFFFFF"/>
        <w:kinsoku/>
        <w:wordWrap/>
        <w:overflowPunct/>
        <w:topLinePunct w:val="0"/>
        <w:autoSpaceDE/>
        <w:autoSpaceDN/>
        <w:bidi w:val="0"/>
        <w:adjustRightInd/>
        <w:snapToGrid/>
        <w:spacing w:line="576" w:lineRule="exact"/>
        <w:ind w:left="0" w:leftChars="0" w:firstLine="729" w:firstLineChars="228"/>
        <w:jc w:val="both"/>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2024年度移民专项争资经费给我局圆满完成了市委市政府下达的立项争资任务，全年共争取了上级资金10271.66万元，资金绩效显著。具体表现如下：</w:t>
      </w:r>
    </w:p>
    <w:p w14:paraId="42698F26">
      <w:pPr>
        <w:keepNext w:val="0"/>
        <w:keepLines w:val="0"/>
        <w:pageBreakBefore w:val="0"/>
        <w:widowControl/>
        <w:shd w:val="clear" w:color="auto" w:fill="FFFFFF"/>
        <w:kinsoku/>
        <w:wordWrap/>
        <w:overflowPunct/>
        <w:topLinePunct w:val="0"/>
        <w:autoSpaceDE/>
        <w:autoSpaceDN/>
        <w:bidi w:val="0"/>
        <w:adjustRightInd/>
        <w:snapToGrid/>
        <w:spacing w:line="576" w:lineRule="exact"/>
        <w:ind w:left="0" w:leftChars="0" w:firstLine="729" w:firstLineChars="228"/>
        <w:jc w:val="both"/>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1、统筹安排，加强后扶政策措施，严格按照上级要求，加强后扶人口动态管理，足额发放移民后扶直补资金572.52万元，实际发放人数9542人，加强移民就业创业能力培训4批次1420人。</w:t>
      </w:r>
    </w:p>
    <w:p w14:paraId="72384D44">
      <w:pPr>
        <w:keepNext w:val="0"/>
        <w:keepLines w:val="0"/>
        <w:pageBreakBefore w:val="0"/>
        <w:widowControl/>
        <w:shd w:val="clear" w:color="auto" w:fill="FFFFFF"/>
        <w:kinsoku/>
        <w:wordWrap/>
        <w:overflowPunct/>
        <w:topLinePunct w:val="0"/>
        <w:autoSpaceDE/>
        <w:autoSpaceDN/>
        <w:bidi w:val="0"/>
        <w:adjustRightInd/>
        <w:snapToGrid/>
        <w:spacing w:line="576" w:lineRule="exact"/>
        <w:ind w:left="0" w:leftChars="0" w:firstLine="729" w:firstLineChars="228"/>
        <w:jc w:val="both"/>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2、强化2024年好项目资金定期调度机制，聚焦移民后扶政策落实，一卡通惠农资金发放，重点移民村建设，产业示范项目建设。</w:t>
      </w:r>
    </w:p>
    <w:p w14:paraId="1A648ABD">
      <w:pPr>
        <w:keepNext w:val="0"/>
        <w:keepLines w:val="0"/>
        <w:pageBreakBefore w:val="0"/>
        <w:kinsoku/>
        <w:wordWrap/>
        <w:overflowPunct/>
        <w:topLinePunct w:val="0"/>
        <w:autoSpaceDE/>
        <w:autoSpaceDN/>
        <w:bidi w:val="0"/>
        <w:adjustRightInd/>
        <w:snapToGrid/>
        <w:spacing w:line="576" w:lineRule="exact"/>
        <w:ind w:left="0" w:leftChars="0" w:firstLine="729" w:firstLineChars="228"/>
        <w:jc w:val="both"/>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3、抓风险稳控，促大局稳定。创建“中心引导、属地主管、信息共享、上下连动”机制，定期排查风险，及时准确把握信息动态，深入分析补稳定因素，尽量把矛盾和问题化解在萌芽状态中，截止目前，全市7年无移民非法进省金京上访情况，移民群众整体稳定，获得上级充分肯定。</w:t>
      </w:r>
    </w:p>
    <w:p w14:paraId="000BF229">
      <w:pPr>
        <w:pStyle w:val="15"/>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宋体" w:hAnsi="宋体" w:eastAsia="宋体" w:cs="仿宋"/>
          <w:bCs/>
          <w:sz w:val="32"/>
          <w:szCs w:val="32"/>
          <w:lang w:val="en-US" w:eastAsia="zh-CN"/>
        </w:rPr>
      </w:pPr>
      <w:r>
        <w:rPr>
          <w:rFonts w:hint="eastAsia" w:ascii="楷体" w:hAnsi="楷体" w:eastAsia="楷体" w:cs="楷体"/>
          <w:b/>
          <w:bCs/>
          <w:sz w:val="32"/>
          <w:szCs w:val="32"/>
          <w:lang w:eastAsia="zh-CN"/>
        </w:rPr>
        <w:t>（三）</w:t>
      </w:r>
      <w:r>
        <w:rPr>
          <w:rFonts w:hint="eastAsia" w:ascii="楷体" w:hAnsi="楷体" w:eastAsia="楷体" w:cs="楷体"/>
          <w:b/>
          <w:bCs/>
          <w:sz w:val="32"/>
          <w:szCs w:val="32"/>
        </w:rPr>
        <w:t>存在的问题及原因分析</w:t>
      </w:r>
    </w:p>
    <w:p w14:paraId="629B7586">
      <w:pPr>
        <w:keepNext w:val="0"/>
        <w:keepLines w:val="0"/>
        <w:pageBreakBefore w:val="0"/>
        <w:kinsoku/>
        <w:wordWrap/>
        <w:overflowPunct/>
        <w:topLinePunct w:val="0"/>
        <w:autoSpaceDE/>
        <w:autoSpaceDN/>
        <w:bidi w:val="0"/>
        <w:adjustRightInd/>
        <w:snapToGrid/>
        <w:spacing w:line="576" w:lineRule="exact"/>
        <w:ind w:left="0" w:leftChars="0" w:firstLine="729" w:firstLineChars="228"/>
        <w:jc w:val="both"/>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一）产业发展基础比较薄弱。四季红腐乳产业才形成规模，入园企业从事大规模生产还有一个适用阶段，虾稻产业虽然在养殖方面形成规模，但虾稻产业链延伸不够，没有收贮，错峰销售，更没有延伸到消费终端完善的产业链，虾稻的附加值不高，品牌不亮，其他产业都还只是初具雏形，发展壮大需要后续的不断支持。</w:t>
      </w:r>
    </w:p>
    <w:p w14:paraId="67059F59">
      <w:pPr>
        <w:keepNext w:val="0"/>
        <w:keepLines w:val="0"/>
        <w:pageBreakBefore w:val="0"/>
        <w:kinsoku/>
        <w:wordWrap/>
        <w:overflowPunct/>
        <w:topLinePunct w:val="0"/>
        <w:autoSpaceDE/>
        <w:autoSpaceDN/>
        <w:bidi w:val="0"/>
        <w:adjustRightInd/>
        <w:snapToGrid/>
        <w:spacing w:line="576" w:lineRule="exact"/>
        <w:ind w:left="0" w:leftChars="0" w:firstLine="729" w:firstLineChars="228"/>
        <w:jc w:val="both"/>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二）转型发展期维稳压力较大。由于历史等方面的原因，加上一些优惠政策在各地实施的不同，造成移民群众对政策不理解，特别是我市四季红镇的移民要求享受与常德西湖区移民享受同等待遇的呼声越来越高，使我市移民维稳压力越来越大。</w:t>
      </w:r>
    </w:p>
    <w:p w14:paraId="5F82A2A0">
      <w:pPr>
        <w:keepNext w:val="0"/>
        <w:keepLines w:val="0"/>
        <w:pageBreakBefore w:val="0"/>
        <w:kinsoku/>
        <w:wordWrap/>
        <w:overflowPunct/>
        <w:topLinePunct w:val="0"/>
        <w:autoSpaceDE/>
        <w:autoSpaceDN/>
        <w:bidi w:val="0"/>
        <w:adjustRightInd/>
        <w:snapToGrid/>
        <w:spacing w:line="576" w:lineRule="exact"/>
        <w:ind w:firstLine="640" w:firstLineChars="200"/>
        <w:jc w:val="both"/>
        <w:rPr>
          <w:rFonts w:hint="eastAsia" w:eastAsia="黑体"/>
          <w:color w:val="auto"/>
          <w:sz w:val="32"/>
          <w:szCs w:val="32"/>
        </w:rPr>
      </w:pPr>
      <w:r>
        <w:rPr>
          <w:rFonts w:hint="eastAsia" w:ascii="楷体" w:hAnsi="楷体" w:eastAsia="楷体" w:cs="楷体"/>
          <w:b/>
          <w:bCs/>
          <w:sz w:val="32"/>
          <w:szCs w:val="32"/>
          <w:lang w:eastAsia="zh-CN"/>
        </w:rPr>
        <w:t>（四）</w:t>
      </w:r>
      <w:r>
        <w:rPr>
          <w:rFonts w:hint="eastAsia" w:ascii="楷体" w:hAnsi="楷体" w:eastAsia="楷体" w:cs="楷体"/>
          <w:b/>
          <w:bCs/>
          <w:color w:val="000000"/>
          <w:kern w:val="0"/>
          <w:sz w:val="32"/>
          <w:szCs w:val="32"/>
          <w:lang w:val="en-US" w:eastAsia="zh-CN" w:bidi="ar-SA"/>
        </w:rPr>
        <w:t>下一步改进措施</w:t>
      </w:r>
    </w:p>
    <w:p w14:paraId="624727AD">
      <w:pPr>
        <w:keepNext w:val="0"/>
        <w:keepLines w:val="0"/>
        <w:pageBreakBefore w:val="0"/>
        <w:kinsoku/>
        <w:wordWrap/>
        <w:overflowPunct/>
        <w:topLinePunct w:val="0"/>
        <w:autoSpaceDE/>
        <w:autoSpaceDN/>
        <w:bidi w:val="0"/>
        <w:adjustRightInd/>
        <w:snapToGrid/>
        <w:spacing w:line="576" w:lineRule="exact"/>
        <w:ind w:left="0" w:leftChars="0" w:firstLine="729" w:firstLineChars="228"/>
        <w:jc w:val="both"/>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1、加大项目攻坚，助力乡村振兴。以打造省级乡村振兴移民示范镇和全国移民集中安置示范区为目标，紧紧围绕沅江市委市政府提出“一镇两村多园”的乡村振兴发展格局，以此为战略发展契机，形成资金叠加效应，积极主动向省市中心汇报工作进展，进一步加大立项争资力度，力争在移民安居乐业、美丽家园建设、特色产业发展、移民品牌创建、集体经济创收等工作上有新的突破，全域带动移民群众增收，提升移民群众幸福感、获得感，圆满出色完成移民政策落地开花结果的历史使命。</w:t>
      </w:r>
    </w:p>
    <w:p w14:paraId="68590B9F">
      <w:pPr>
        <w:keepNext w:val="0"/>
        <w:keepLines w:val="0"/>
        <w:pageBreakBefore w:val="0"/>
        <w:kinsoku/>
        <w:wordWrap/>
        <w:overflowPunct/>
        <w:topLinePunct w:val="0"/>
        <w:autoSpaceDE/>
        <w:autoSpaceDN/>
        <w:bidi w:val="0"/>
        <w:adjustRightInd/>
        <w:snapToGrid/>
        <w:spacing w:line="576" w:lineRule="exact"/>
        <w:ind w:left="0" w:leftChars="0" w:firstLine="729" w:firstLineChars="228"/>
        <w:jc w:val="both"/>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 xml:space="preserve">2、推进重点移民村建设，建设移民特色小镇。以省水利厅关于省重点移民村美丽家园建设指南的要求，依托“三高四新”战略，利用独特的区位条件、移民特色等，着力特色产业、突出生态环保、推进乡风文明等方面下功夫，实施重点移民村美丽家园建设，重点把四季红镇集中安置区打造成移民美丽家园示范区，强力推进移民特色小镇建设，带动移民群众增收致富，促进库区和移民安置区发展动力更足，增收渠道更宽，人居环境更美，社会更和谐。 </w:t>
      </w:r>
    </w:p>
    <w:p w14:paraId="1685F57D">
      <w:pPr>
        <w:keepNext w:val="0"/>
        <w:keepLines w:val="0"/>
        <w:pageBreakBefore w:val="0"/>
        <w:kinsoku/>
        <w:wordWrap/>
        <w:overflowPunct/>
        <w:topLinePunct w:val="0"/>
        <w:autoSpaceDE/>
        <w:autoSpaceDN/>
        <w:bidi w:val="0"/>
        <w:adjustRightInd/>
        <w:snapToGrid/>
        <w:spacing w:line="576" w:lineRule="exact"/>
        <w:ind w:left="0" w:leftChars="0" w:firstLine="729" w:firstLineChars="228"/>
        <w:jc w:val="both"/>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3、壮大村集体经济，提高基层造血功能。按照益阳市委和沅江市委提出的发展壮大村级集体经济三年行动计划，立足移民安置区和库区实际，继续完善好、运行好现有的村级集体产业，力争各村（社区）集体收入均达10万元以上，确保年增长率不低于6%，立志走在全市村级集体经济发展的前列。</w:t>
      </w:r>
    </w:p>
    <w:p w14:paraId="74C4974D">
      <w:pPr>
        <w:keepNext w:val="0"/>
        <w:keepLines w:val="0"/>
        <w:pageBreakBefore w:val="0"/>
        <w:kinsoku/>
        <w:wordWrap/>
        <w:overflowPunct/>
        <w:topLinePunct w:val="0"/>
        <w:autoSpaceDE/>
        <w:autoSpaceDN/>
        <w:bidi w:val="0"/>
        <w:adjustRightInd/>
        <w:snapToGrid/>
        <w:spacing w:line="576" w:lineRule="exact"/>
        <w:ind w:left="0" w:leftChars="0" w:firstLine="729" w:firstLineChars="228"/>
        <w:jc w:val="both"/>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4、促进产业发展，做强移民经济。整合发展腐乳产业，培育龙头企业全力打造四季红镇移民特色产业园，利用腐乳产业园区平台对腐乳加工企业生产进行规范，狠抓腐乳生产质量，着力打造四季红腐乳新品牌；做精做优稻虾产业，推广生态、绿色养殖，延伸小龙虾加工产业链，开展小龙虾产品深加工，进一步挖掘和提升小龙虾附加值；大力推广蔺草种植和加工，切实增加移民收入。</w:t>
      </w:r>
    </w:p>
    <w:p w14:paraId="52807F0E">
      <w:pPr>
        <w:keepNext w:val="0"/>
        <w:keepLines w:val="0"/>
        <w:pageBreakBefore w:val="0"/>
        <w:kinsoku/>
        <w:wordWrap/>
        <w:overflowPunct/>
        <w:topLinePunct w:val="0"/>
        <w:autoSpaceDE/>
        <w:autoSpaceDN/>
        <w:bidi w:val="0"/>
        <w:adjustRightInd/>
        <w:snapToGrid/>
        <w:spacing w:line="576" w:lineRule="exact"/>
        <w:ind w:left="0" w:leftChars="0" w:firstLine="729" w:firstLineChars="228"/>
        <w:jc w:val="both"/>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5、创建平安移民新村，保持大局稳定。牢固树立“稳定是第一责任，发展是第一要务，安全是第一保障”的思想，继续加强信访维稳工作力度，做好库区移民遗留问题协调处理工作，确保库区移民稳定发展。以创新机制为抓手，开展创建“平安移民村”活动，动态推进移民信访稳定工作</w:t>
      </w:r>
      <w:bookmarkEnd w:id="39"/>
      <w:r>
        <w:rPr>
          <w:rFonts w:hint="eastAsia" w:ascii="Times New Roman" w:hAnsi="Times New Roman" w:eastAsia="仿宋_GB2312" w:cs="Times New Roman"/>
          <w:color w:val="auto"/>
          <w:kern w:val="0"/>
          <w:sz w:val="32"/>
          <w:szCs w:val="32"/>
          <w:lang w:val="en-US" w:eastAsia="zh-CN" w:bidi="ar-SA"/>
        </w:rPr>
        <w:t>。</w:t>
      </w:r>
    </w:p>
    <w:p w14:paraId="6F60D378">
      <w:pPr>
        <w:keepNext w:val="0"/>
        <w:keepLines w:val="0"/>
        <w:pageBreakBefore w:val="0"/>
        <w:kinsoku/>
        <w:wordWrap/>
        <w:overflowPunct/>
        <w:topLinePunct w:val="0"/>
        <w:autoSpaceDE/>
        <w:autoSpaceDN/>
        <w:bidi w:val="0"/>
        <w:adjustRightInd/>
        <w:snapToGrid/>
        <w:spacing w:line="576" w:lineRule="exact"/>
        <w:ind w:left="0" w:leftChars="0" w:firstLine="729" w:firstLineChars="228"/>
        <w:jc w:val="both"/>
        <w:rPr>
          <w:rFonts w:hint="eastAsia" w:ascii="Times New Roman" w:hAnsi="Times New Roman" w:eastAsia="仿宋_GB2312" w:cs="Times New Roman"/>
          <w:color w:val="auto"/>
          <w:kern w:val="0"/>
          <w:sz w:val="32"/>
          <w:szCs w:val="32"/>
          <w:lang w:val="en-US" w:eastAsia="zh-CN" w:bidi="ar-SA"/>
        </w:rPr>
      </w:pPr>
    </w:p>
    <w:p w14:paraId="3DB17A6C">
      <w:pPr>
        <w:pStyle w:val="15"/>
        <w:jc w:val="both"/>
        <w:rPr>
          <w:rFonts w:ascii="Times New Roman" w:hAnsi="Times New Roman" w:cs="Times New Roman"/>
          <w:sz w:val="72"/>
          <w:szCs w:val="72"/>
        </w:rPr>
      </w:pPr>
    </w:p>
    <w:p w14:paraId="3362542E">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14:paraId="32E381B8">
      <w:pPr>
        <w:widowControl/>
        <w:jc w:val="left"/>
        <w:rPr>
          <w:rFonts w:ascii="Times New Roman" w:hAnsi="Times New Roman" w:cs="Times New Roman"/>
          <w:color w:val="000000"/>
          <w:kern w:val="0"/>
          <w:sz w:val="32"/>
          <w:szCs w:val="32"/>
        </w:rPr>
      </w:pPr>
    </w:p>
    <w:p w14:paraId="1D2DA78C">
      <w:pPr>
        <w:keepNext w:val="0"/>
        <w:keepLines w:val="0"/>
        <w:pageBreakBefore w:val="0"/>
        <w:kinsoku/>
        <w:wordWrap/>
        <w:overflowPunct/>
        <w:topLinePunct w:val="0"/>
        <w:autoSpaceDE/>
        <w:autoSpaceDN/>
        <w:bidi w:val="0"/>
        <w:adjustRightInd/>
        <w:snapToGrid/>
        <w:spacing w:line="576" w:lineRule="exact"/>
        <w:ind w:left="0" w:leftChars="0" w:firstLine="729" w:firstLineChars="228"/>
        <w:jc w:val="both"/>
        <w:rPr>
          <w:rFonts w:hint="eastAsia" w:ascii="华文仿宋" w:hAnsi="华文仿宋" w:eastAsia="方正仿宋简体" w:cs="方正仿宋简体"/>
          <w:color w:val="auto"/>
          <w:sz w:val="32"/>
          <w:szCs w:val="32"/>
        </w:rPr>
      </w:pPr>
      <w:r>
        <w:rPr>
          <w:rFonts w:hint="eastAsia" w:ascii="华文仿宋" w:hAnsi="华文仿宋" w:eastAsia="方正仿宋简体" w:cs="方正仿宋简体"/>
          <w:color w:val="auto"/>
          <w:sz w:val="32"/>
          <w:szCs w:val="32"/>
        </w:rPr>
        <w:t>机关运行经费：是指各部门的公用经费，包括办公及印刷费、邮电费、差旅费、会议费、福利费、日常维修费、专用资料及一般设备购置费、办公用房水电费、办公用房取暖费、办公用房物业管理费、公务用车运行维护费以及其他费用。财政拨款收入：指本级财政当年拨付的资金。</w:t>
      </w:r>
    </w:p>
    <w:p w14:paraId="45EB5EE8">
      <w:pPr>
        <w:keepNext w:val="0"/>
        <w:keepLines w:val="0"/>
        <w:pageBreakBefore w:val="0"/>
        <w:kinsoku/>
        <w:wordWrap/>
        <w:overflowPunct/>
        <w:topLinePunct w:val="0"/>
        <w:autoSpaceDE/>
        <w:autoSpaceDN/>
        <w:bidi w:val="0"/>
        <w:adjustRightInd/>
        <w:snapToGrid/>
        <w:spacing w:line="576" w:lineRule="exact"/>
        <w:ind w:left="0" w:leftChars="0" w:firstLine="729" w:firstLineChars="228"/>
        <w:jc w:val="both"/>
        <w:rPr>
          <w:rFonts w:hint="eastAsia" w:ascii="华文仿宋" w:hAnsi="华文仿宋" w:eastAsia="方正仿宋简体" w:cs="方正仿宋简体"/>
          <w:color w:val="auto"/>
          <w:sz w:val="32"/>
          <w:szCs w:val="32"/>
        </w:rPr>
      </w:pPr>
      <w:r>
        <w:rPr>
          <w:rFonts w:hint="eastAsia" w:ascii="华文仿宋" w:hAnsi="华文仿宋" w:eastAsia="方正仿宋简体" w:cs="方正仿宋简体"/>
          <w:color w:val="auto"/>
          <w:sz w:val="32"/>
          <w:szCs w:val="32"/>
        </w:rPr>
        <w:t>事业收入：指事业单位开展专业业务活动及辅助活动所取得的收入。</w:t>
      </w:r>
    </w:p>
    <w:p w14:paraId="0D89F882">
      <w:pPr>
        <w:keepNext w:val="0"/>
        <w:keepLines w:val="0"/>
        <w:pageBreakBefore w:val="0"/>
        <w:kinsoku/>
        <w:wordWrap/>
        <w:overflowPunct/>
        <w:topLinePunct w:val="0"/>
        <w:autoSpaceDE/>
        <w:autoSpaceDN/>
        <w:bidi w:val="0"/>
        <w:adjustRightInd/>
        <w:snapToGrid/>
        <w:spacing w:line="576" w:lineRule="exact"/>
        <w:ind w:left="0" w:leftChars="0" w:firstLine="729" w:firstLineChars="228"/>
        <w:jc w:val="both"/>
        <w:rPr>
          <w:rFonts w:hint="eastAsia" w:ascii="华文仿宋" w:hAnsi="华文仿宋" w:eastAsia="方正仿宋简体" w:cs="方正仿宋简体"/>
          <w:color w:val="auto"/>
          <w:sz w:val="32"/>
          <w:szCs w:val="32"/>
        </w:rPr>
      </w:pPr>
      <w:r>
        <w:rPr>
          <w:rFonts w:hint="eastAsia" w:ascii="华文仿宋" w:hAnsi="华文仿宋" w:eastAsia="方正仿宋简体" w:cs="方正仿宋简体"/>
          <w:color w:val="auto"/>
          <w:sz w:val="32"/>
          <w:szCs w:val="32"/>
        </w:rPr>
        <w:t>上年结转和结余：指以前年度尚未完成、结转到本年按有关规定继续使用的资金。</w:t>
      </w:r>
    </w:p>
    <w:p w14:paraId="1FFE0EFC">
      <w:pPr>
        <w:keepNext w:val="0"/>
        <w:keepLines w:val="0"/>
        <w:pageBreakBefore w:val="0"/>
        <w:kinsoku/>
        <w:wordWrap/>
        <w:overflowPunct/>
        <w:topLinePunct w:val="0"/>
        <w:autoSpaceDE/>
        <w:autoSpaceDN/>
        <w:bidi w:val="0"/>
        <w:adjustRightInd/>
        <w:snapToGrid/>
        <w:spacing w:line="576" w:lineRule="exact"/>
        <w:ind w:left="0" w:leftChars="0" w:firstLine="729" w:firstLineChars="228"/>
        <w:jc w:val="both"/>
        <w:rPr>
          <w:rFonts w:hint="eastAsia" w:ascii="华文仿宋" w:hAnsi="华文仿宋" w:eastAsia="方正仿宋简体" w:cs="方正仿宋简体"/>
          <w:color w:val="auto"/>
          <w:sz w:val="32"/>
          <w:szCs w:val="32"/>
        </w:rPr>
      </w:pPr>
      <w:r>
        <w:rPr>
          <w:rFonts w:hint="eastAsia" w:ascii="华文仿宋" w:hAnsi="华文仿宋" w:eastAsia="方正仿宋简体" w:cs="方正仿宋简体"/>
          <w:color w:val="auto"/>
          <w:sz w:val="32"/>
          <w:szCs w:val="32"/>
        </w:rPr>
        <w:t>年末结转和结余资金：指本年度或以前年度预算安排、因客观条件发生变化无法按原计划实施，需要延迟到以后年度按有关规定继续使用的资金。</w:t>
      </w:r>
    </w:p>
    <w:p w14:paraId="2D572BE1">
      <w:pPr>
        <w:keepNext w:val="0"/>
        <w:keepLines w:val="0"/>
        <w:pageBreakBefore w:val="0"/>
        <w:kinsoku/>
        <w:wordWrap/>
        <w:overflowPunct/>
        <w:topLinePunct w:val="0"/>
        <w:autoSpaceDE/>
        <w:autoSpaceDN/>
        <w:bidi w:val="0"/>
        <w:adjustRightInd/>
        <w:snapToGrid/>
        <w:spacing w:line="576" w:lineRule="exact"/>
        <w:ind w:left="0" w:leftChars="0" w:firstLine="729" w:firstLineChars="228"/>
        <w:jc w:val="both"/>
        <w:rPr>
          <w:rFonts w:hint="eastAsia" w:ascii="华文仿宋" w:hAnsi="华文仿宋" w:eastAsia="方正仿宋简体" w:cs="方正仿宋简体"/>
          <w:color w:val="auto"/>
          <w:sz w:val="32"/>
          <w:szCs w:val="32"/>
        </w:rPr>
      </w:pPr>
      <w:r>
        <w:rPr>
          <w:rFonts w:hint="eastAsia" w:ascii="华文仿宋" w:hAnsi="华文仿宋" w:eastAsia="方正仿宋简体" w:cs="方正仿宋简体"/>
          <w:color w:val="auto"/>
          <w:sz w:val="32"/>
          <w:szCs w:val="32"/>
        </w:rPr>
        <w:t>一般公共服务支出（类）：是指用于人大、政协、政府办公厅（室）及相关机构事务、发展与改革事务、统计信息事务、财政事务、税收事务、审计事务、人力资源事务、纪检监察事务、商贸事务、工商行政管理事务、质量技术监督与检验检疫事务、民族事务、档案事务、民主党派及工商公共服务方面的支出。</w:t>
      </w:r>
    </w:p>
    <w:p w14:paraId="68BA811E">
      <w:pPr>
        <w:keepNext w:val="0"/>
        <w:keepLines w:val="0"/>
        <w:pageBreakBefore w:val="0"/>
        <w:kinsoku/>
        <w:wordWrap/>
        <w:overflowPunct/>
        <w:topLinePunct w:val="0"/>
        <w:autoSpaceDE/>
        <w:autoSpaceDN/>
        <w:bidi w:val="0"/>
        <w:adjustRightInd/>
        <w:snapToGrid/>
        <w:spacing w:line="576" w:lineRule="exact"/>
        <w:ind w:left="0" w:leftChars="0" w:firstLine="729" w:firstLineChars="228"/>
        <w:jc w:val="both"/>
        <w:rPr>
          <w:rFonts w:hint="eastAsia" w:ascii="华文仿宋" w:hAnsi="华文仿宋" w:eastAsia="方正仿宋简体" w:cs="方正仿宋简体"/>
          <w:color w:val="auto"/>
          <w:sz w:val="32"/>
          <w:szCs w:val="32"/>
        </w:rPr>
      </w:pPr>
      <w:r>
        <w:rPr>
          <w:rFonts w:hint="eastAsia" w:ascii="华文仿宋" w:hAnsi="华文仿宋" w:eastAsia="方正仿宋简体" w:cs="方正仿宋简体"/>
          <w:color w:val="auto"/>
          <w:sz w:val="32"/>
          <w:szCs w:val="32"/>
        </w:rPr>
        <w:t>社会保障和就业支出（类）：是指用于社会保障和就业方面的支出，包括保障机构正常运转、完成日常和特定的工作任务或事业发展目标的支出。归口管理的行政单位离退休，指离退休人员管理机构统一管理的机关离退休人员的经费。</w:t>
      </w:r>
    </w:p>
    <w:p w14:paraId="15EB0233">
      <w:pPr>
        <w:keepNext w:val="0"/>
        <w:keepLines w:val="0"/>
        <w:pageBreakBefore w:val="0"/>
        <w:kinsoku/>
        <w:wordWrap/>
        <w:overflowPunct/>
        <w:topLinePunct w:val="0"/>
        <w:autoSpaceDE/>
        <w:autoSpaceDN/>
        <w:bidi w:val="0"/>
        <w:adjustRightInd/>
        <w:snapToGrid/>
        <w:spacing w:line="576" w:lineRule="exact"/>
        <w:ind w:left="0" w:leftChars="0" w:firstLine="729" w:firstLineChars="228"/>
        <w:jc w:val="both"/>
        <w:rPr>
          <w:rFonts w:hint="eastAsia" w:ascii="华文仿宋" w:hAnsi="华文仿宋" w:eastAsia="方正仿宋简体" w:cs="方正仿宋简体"/>
          <w:color w:val="auto"/>
          <w:sz w:val="32"/>
          <w:szCs w:val="32"/>
        </w:rPr>
      </w:pPr>
      <w:r>
        <w:rPr>
          <w:rFonts w:hint="eastAsia" w:ascii="华文仿宋" w:hAnsi="华文仿宋" w:eastAsia="方正仿宋简体" w:cs="方正仿宋简体"/>
          <w:color w:val="auto"/>
          <w:sz w:val="32"/>
          <w:szCs w:val="32"/>
        </w:rPr>
        <w:t>农林水支出（类）：是指用于农林水事务支出，包括保障机构正常运转、完成日常和特定的工作任务或事业发展目标的支出。</w:t>
      </w:r>
    </w:p>
    <w:p w14:paraId="2B30A59E">
      <w:pPr>
        <w:keepNext w:val="0"/>
        <w:keepLines w:val="0"/>
        <w:pageBreakBefore w:val="0"/>
        <w:kinsoku/>
        <w:wordWrap/>
        <w:overflowPunct/>
        <w:topLinePunct w:val="0"/>
        <w:autoSpaceDE/>
        <w:autoSpaceDN/>
        <w:bidi w:val="0"/>
        <w:adjustRightInd/>
        <w:snapToGrid/>
        <w:spacing w:line="576" w:lineRule="exact"/>
        <w:ind w:left="0" w:leftChars="0" w:firstLine="729" w:firstLineChars="228"/>
        <w:jc w:val="both"/>
        <w:rPr>
          <w:rFonts w:hint="eastAsia" w:ascii="华文仿宋" w:hAnsi="华文仿宋" w:eastAsia="方正仿宋简体" w:cs="方正仿宋简体"/>
          <w:color w:val="auto"/>
          <w:sz w:val="32"/>
          <w:szCs w:val="32"/>
        </w:rPr>
      </w:pPr>
      <w:r>
        <w:rPr>
          <w:rFonts w:hint="eastAsia" w:ascii="华文仿宋" w:hAnsi="华文仿宋" w:eastAsia="方正仿宋简体" w:cs="方正仿宋简体"/>
          <w:color w:val="auto"/>
          <w:sz w:val="32"/>
          <w:szCs w:val="32"/>
        </w:rPr>
        <w:t>住房保障支出（类）：是指用于住房方面的支出，包括保障机构正常运转、完成日常和特定的工作任务或事业发展目标的支出。</w:t>
      </w:r>
    </w:p>
    <w:p w14:paraId="59631AE6">
      <w:pPr>
        <w:keepNext w:val="0"/>
        <w:keepLines w:val="0"/>
        <w:pageBreakBefore w:val="0"/>
        <w:kinsoku/>
        <w:wordWrap/>
        <w:overflowPunct/>
        <w:topLinePunct w:val="0"/>
        <w:autoSpaceDE/>
        <w:autoSpaceDN/>
        <w:bidi w:val="0"/>
        <w:adjustRightInd/>
        <w:snapToGrid/>
        <w:spacing w:line="576" w:lineRule="exact"/>
        <w:ind w:left="0" w:leftChars="0" w:firstLine="729" w:firstLineChars="228"/>
        <w:jc w:val="both"/>
        <w:rPr>
          <w:rFonts w:hint="eastAsia" w:ascii="华文仿宋" w:hAnsi="华文仿宋" w:eastAsia="方正仿宋简体" w:cs="方正仿宋简体"/>
          <w:color w:val="auto"/>
          <w:sz w:val="32"/>
          <w:szCs w:val="32"/>
        </w:rPr>
      </w:pPr>
      <w:r>
        <w:rPr>
          <w:rFonts w:hint="eastAsia" w:ascii="华文仿宋" w:hAnsi="华文仿宋" w:eastAsia="方正仿宋简体" w:cs="方正仿宋简体"/>
          <w:color w:val="auto"/>
          <w:sz w:val="32"/>
          <w:szCs w:val="32"/>
        </w:rPr>
        <w:t>基本支出：指保障机构正常运转、完成支日常工作任务而发生的人员支出和公用支出。</w:t>
      </w:r>
    </w:p>
    <w:p w14:paraId="222722A2">
      <w:pPr>
        <w:keepNext w:val="0"/>
        <w:keepLines w:val="0"/>
        <w:pageBreakBefore w:val="0"/>
        <w:kinsoku/>
        <w:wordWrap/>
        <w:overflowPunct/>
        <w:topLinePunct w:val="0"/>
        <w:autoSpaceDE/>
        <w:autoSpaceDN/>
        <w:bidi w:val="0"/>
        <w:adjustRightInd/>
        <w:snapToGrid/>
        <w:spacing w:line="576" w:lineRule="exact"/>
        <w:ind w:left="0" w:leftChars="0" w:firstLine="729" w:firstLineChars="228"/>
        <w:jc w:val="both"/>
        <w:rPr>
          <w:rFonts w:hint="eastAsia" w:ascii="华文仿宋" w:hAnsi="华文仿宋" w:eastAsia="方正仿宋简体" w:cs="方正仿宋简体"/>
          <w:color w:val="auto"/>
          <w:sz w:val="32"/>
          <w:szCs w:val="32"/>
        </w:rPr>
      </w:pPr>
      <w:r>
        <w:rPr>
          <w:rFonts w:hint="eastAsia" w:ascii="华文仿宋" w:hAnsi="华文仿宋" w:eastAsia="方正仿宋简体" w:cs="方正仿宋简体"/>
          <w:color w:val="auto"/>
          <w:sz w:val="32"/>
          <w:szCs w:val="32"/>
        </w:rPr>
        <w:t>项目支出：指在基本支出之外为完成特定行政任务和事业发展目标所发生的支出。</w:t>
      </w:r>
    </w:p>
    <w:p w14:paraId="693AD151">
      <w:pPr>
        <w:keepNext w:val="0"/>
        <w:keepLines w:val="0"/>
        <w:pageBreakBefore w:val="0"/>
        <w:kinsoku/>
        <w:wordWrap/>
        <w:overflowPunct/>
        <w:topLinePunct w:val="0"/>
        <w:autoSpaceDE/>
        <w:autoSpaceDN/>
        <w:bidi w:val="0"/>
        <w:adjustRightInd/>
        <w:snapToGrid/>
        <w:spacing w:line="576" w:lineRule="exact"/>
        <w:ind w:left="0" w:leftChars="0" w:firstLine="729" w:firstLineChars="228"/>
        <w:jc w:val="both"/>
        <w:rPr>
          <w:rFonts w:hint="eastAsia" w:ascii="华文仿宋" w:hAnsi="华文仿宋" w:eastAsia="方正仿宋简体" w:cs="方正仿宋简体"/>
          <w:color w:val="auto"/>
          <w:sz w:val="32"/>
          <w:szCs w:val="32"/>
          <w:lang w:eastAsia="zh-CN"/>
        </w:rPr>
      </w:pPr>
      <w:r>
        <w:rPr>
          <w:rFonts w:hint="eastAsia" w:ascii="华文仿宋" w:hAnsi="华文仿宋" w:eastAsia="方正仿宋简体" w:cs="方正仿宋简体"/>
          <w:color w:val="auto"/>
          <w:sz w:val="32"/>
          <w:szCs w:val="32"/>
        </w:rPr>
        <w:t>“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w:t>
      </w:r>
      <w:r>
        <w:rPr>
          <w:rFonts w:hint="eastAsia" w:ascii="华文仿宋" w:hAnsi="华文仿宋" w:eastAsia="方正仿宋简体" w:cs="方正仿宋简体"/>
          <w:color w:val="auto"/>
          <w:sz w:val="32"/>
          <w:szCs w:val="32"/>
          <w:lang w:eastAsia="zh-CN"/>
        </w:rPr>
        <w:t>。</w:t>
      </w:r>
    </w:p>
    <w:p w14:paraId="0FDA1205">
      <w:pPr>
        <w:keepNext w:val="0"/>
        <w:keepLines w:val="0"/>
        <w:pageBreakBefore w:val="0"/>
        <w:kinsoku/>
        <w:wordWrap/>
        <w:overflowPunct/>
        <w:topLinePunct w:val="0"/>
        <w:autoSpaceDE/>
        <w:autoSpaceDN/>
        <w:bidi w:val="0"/>
        <w:adjustRightInd/>
        <w:snapToGrid/>
        <w:spacing w:line="576" w:lineRule="exact"/>
        <w:ind w:left="0" w:leftChars="0" w:firstLine="729" w:firstLineChars="228"/>
        <w:jc w:val="both"/>
        <w:rPr>
          <w:rFonts w:hint="eastAsia" w:ascii="华文仿宋" w:hAnsi="华文仿宋" w:eastAsia="方正仿宋简体" w:cs="方正仿宋简体"/>
          <w:color w:val="auto"/>
          <w:sz w:val="32"/>
          <w:szCs w:val="32"/>
        </w:rPr>
      </w:pPr>
      <w:r>
        <w:rPr>
          <w:rFonts w:hint="eastAsia" w:ascii="华文仿宋" w:hAnsi="华文仿宋" w:eastAsia="方正仿宋简体" w:cs="方正仿宋简体"/>
          <w:color w:val="auto"/>
          <w:sz w:val="32"/>
          <w:szCs w:val="32"/>
        </w:rPr>
        <w:t>工资福利支出：反映单位开支的在职职工和编制外长期聘用人员的各类劳动报酬，以及为上述人员缴纳的各项社会保险费等。</w:t>
      </w:r>
    </w:p>
    <w:p w14:paraId="3AD32477">
      <w:pPr>
        <w:keepNext w:val="0"/>
        <w:keepLines w:val="0"/>
        <w:pageBreakBefore w:val="0"/>
        <w:kinsoku/>
        <w:wordWrap/>
        <w:overflowPunct/>
        <w:topLinePunct w:val="0"/>
        <w:autoSpaceDE/>
        <w:autoSpaceDN/>
        <w:bidi w:val="0"/>
        <w:adjustRightInd/>
        <w:snapToGrid/>
        <w:spacing w:line="576" w:lineRule="exact"/>
        <w:ind w:left="0" w:leftChars="0" w:firstLine="729" w:firstLineChars="228"/>
        <w:jc w:val="both"/>
        <w:rPr>
          <w:rFonts w:hint="eastAsia" w:ascii="华文仿宋" w:hAnsi="华文仿宋" w:eastAsia="方正仿宋简体" w:cs="方正仿宋简体"/>
          <w:color w:val="auto"/>
          <w:sz w:val="32"/>
          <w:szCs w:val="32"/>
          <w:lang w:eastAsia="zh-CN"/>
        </w:rPr>
      </w:pPr>
      <w:r>
        <w:rPr>
          <w:rFonts w:hint="eastAsia" w:ascii="华文仿宋" w:hAnsi="华文仿宋" w:eastAsia="方正仿宋简体" w:cs="方正仿宋简体"/>
          <w:color w:val="auto"/>
          <w:sz w:val="32"/>
          <w:szCs w:val="32"/>
        </w:rPr>
        <w:t>基本工资：反映按规定发放的基本工资，包括公务员的职务工资、级别工资；机关工人的岗位工资、技术等级工资；事业单位工作人员的岗位工资、薪级工资；各类学校毕业生试用期(见习期)工资、新参加工作工人学徒期、熟练期工资；军队（武警）军官、文职干部的职务（专业技术等级</w:t>
      </w:r>
      <w:r>
        <w:rPr>
          <w:rFonts w:hint="eastAsia" w:ascii="华文仿宋" w:hAnsi="华文仿宋" w:eastAsia="方正仿宋简体" w:cs="方正仿宋简体"/>
          <w:color w:val="auto"/>
          <w:sz w:val="32"/>
          <w:szCs w:val="32"/>
          <w:lang w:eastAsia="zh-CN"/>
        </w:rPr>
        <w:t>）</w:t>
      </w:r>
    </w:p>
    <w:p w14:paraId="6F5E17CB">
      <w:pPr>
        <w:keepNext w:val="0"/>
        <w:keepLines w:val="0"/>
        <w:pageBreakBefore w:val="0"/>
        <w:kinsoku/>
        <w:wordWrap/>
        <w:overflowPunct/>
        <w:topLinePunct w:val="0"/>
        <w:autoSpaceDE/>
        <w:autoSpaceDN/>
        <w:bidi w:val="0"/>
        <w:adjustRightInd/>
        <w:snapToGrid/>
        <w:spacing w:line="576" w:lineRule="exact"/>
        <w:ind w:left="0" w:leftChars="0" w:firstLine="729" w:firstLineChars="228"/>
        <w:jc w:val="both"/>
        <w:rPr>
          <w:rFonts w:hint="eastAsia" w:ascii="华文仿宋" w:hAnsi="华文仿宋" w:eastAsia="方正仿宋简体" w:cs="方正仿宋简体"/>
          <w:color w:val="auto"/>
          <w:sz w:val="32"/>
          <w:szCs w:val="32"/>
        </w:rPr>
      </w:pPr>
      <w:r>
        <w:rPr>
          <w:rFonts w:hint="eastAsia" w:ascii="华文仿宋" w:hAnsi="华文仿宋" w:eastAsia="方正仿宋简体" w:cs="方正仿宋简体"/>
          <w:color w:val="auto"/>
          <w:sz w:val="32"/>
          <w:szCs w:val="32"/>
        </w:rPr>
        <w:t>津贴补贴：反映经国家批准建立的机关事业单位艰苦边远地区津贴、机关工作人员地区附加津贴、机关工作人员岗位津贴、事业单位工作人员特殊岗位津贴补贴等。</w:t>
      </w:r>
    </w:p>
    <w:p w14:paraId="1A07EE9F">
      <w:pPr>
        <w:keepNext w:val="0"/>
        <w:keepLines w:val="0"/>
        <w:pageBreakBefore w:val="0"/>
        <w:kinsoku/>
        <w:wordWrap/>
        <w:overflowPunct/>
        <w:topLinePunct w:val="0"/>
        <w:autoSpaceDE/>
        <w:autoSpaceDN/>
        <w:bidi w:val="0"/>
        <w:adjustRightInd/>
        <w:snapToGrid/>
        <w:spacing w:line="576" w:lineRule="exact"/>
        <w:ind w:left="0" w:leftChars="0" w:firstLine="729" w:firstLineChars="228"/>
        <w:jc w:val="both"/>
        <w:rPr>
          <w:rFonts w:hint="eastAsia" w:ascii="华文仿宋" w:hAnsi="华文仿宋" w:eastAsia="方正仿宋简体" w:cs="方正仿宋简体"/>
          <w:color w:val="auto"/>
          <w:sz w:val="32"/>
          <w:szCs w:val="32"/>
        </w:rPr>
      </w:pPr>
      <w:r>
        <w:rPr>
          <w:rFonts w:hint="eastAsia" w:ascii="华文仿宋" w:hAnsi="华文仿宋" w:eastAsia="方正仿宋简体" w:cs="方正仿宋简体"/>
          <w:color w:val="auto"/>
          <w:sz w:val="32"/>
          <w:szCs w:val="32"/>
        </w:rPr>
        <w:t>绩效工资：反映事业单位工作人员的绩效工资。</w:t>
      </w:r>
    </w:p>
    <w:p w14:paraId="499FC9E1">
      <w:pPr>
        <w:keepNext w:val="0"/>
        <w:keepLines w:val="0"/>
        <w:pageBreakBefore w:val="0"/>
        <w:kinsoku/>
        <w:wordWrap/>
        <w:overflowPunct/>
        <w:topLinePunct w:val="0"/>
        <w:autoSpaceDE/>
        <w:autoSpaceDN/>
        <w:bidi w:val="0"/>
        <w:adjustRightInd/>
        <w:snapToGrid/>
        <w:spacing w:line="576" w:lineRule="exact"/>
        <w:ind w:left="0" w:leftChars="0" w:firstLine="729" w:firstLineChars="228"/>
        <w:jc w:val="both"/>
        <w:rPr>
          <w:rFonts w:hint="eastAsia" w:ascii="华文仿宋" w:hAnsi="华文仿宋" w:eastAsia="方正仿宋简体" w:cs="方正仿宋简体"/>
          <w:color w:val="auto"/>
          <w:sz w:val="32"/>
          <w:szCs w:val="32"/>
        </w:rPr>
      </w:pPr>
      <w:r>
        <w:rPr>
          <w:rFonts w:hint="eastAsia" w:ascii="华文仿宋" w:hAnsi="华文仿宋" w:eastAsia="方正仿宋简体" w:cs="方正仿宋简体"/>
          <w:color w:val="auto"/>
          <w:sz w:val="32"/>
          <w:szCs w:val="32"/>
        </w:rPr>
        <w:t>机关事业单位基本养老保险缴费：反映机关事业单位缴纳的基本养老保险费。由单位代扣的工作人员基本养老保险缴费，不在此科目反映。</w:t>
      </w:r>
    </w:p>
    <w:p w14:paraId="0EAD9A15">
      <w:pPr>
        <w:keepNext w:val="0"/>
        <w:keepLines w:val="0"/>
        <w:pageBreakBefore w:val="0"/>
        <w:kinsoku/>
        <w:wordWrap/>
        <w:overflowPunct/>
        <w:topLinePunct w:val="0"/>
        <w:autoSpaceDE/>
        <w:autoSpaceDN/>
        <w:bidi w:val="0"/>
        <w:adjustRightInd/>
        <w:snapToGrid/>
        <w:spacing w:line="576" w:lineRule="exact"/>
        <w:ind w:left="0" w:leftChars="0" w:firstLine="729" w:firstLineChars="228"/>
        <w:jc w:val="both"/>
        <w:rPr>
          <w:rFonts w:hint="eastAsia" w:ascii="华文仿宋" w:hAnsi="华文仿宋" w:eastAsia="方正仿宋简体" w:cs="方正仿宋简体"/>
          <w:color w:val="auto"/>
          <w:sz w:val="32"/>
          <w:szCs w:val="32"/>
        </w:rPr>
      </w:pPr>
      <w:r>
        <w:rPr>
          <w:rFonts w:hint="eastAsia" w:ascii="华文仿宋" w:hAnsi="华文仿宋" w:eastAsia="方正仿宋简体" w:cs="方正仿宋简体"/>
          <w:color w:val="auto"/>
          <w:sz w:val="32"/>
          <w:szCs w:val="32"/>
        </w:rPr>
        <w:t>职工基本医疗保险缴费：反映单位为职工缴纳的基本医疗保险费。</w:t>
      </w:r>
    </w:p>
    <w:p w14:paraId="02B262CA">
      <w:pPr>
        <w:keepNext w:val="0"/>
        <w:keepLines w:val="0"/>
        <w:pageBreakBefore w:val="0"/>
        <w:kinsoku/>
        <w:wordWrap/>
        <w:overflowPunct/>
        <w:topLinePunct w:val="0"/>
        <w:autoSpaceDE/>
        <w:autoSpaceDN/>
        <w:bidi w:val="0"/>
        <w:adjustRightInd/>
        <w:snapToGrid/>
        <w:spacing w:line="576" w:lineRule="exact"/>
        <w:ind w:left="0" w:leftChars="0" w:firstLine="729" w:firstLineChars="228"/>
        <w:jc w:val="both"/>
        <w:rPr>
          <w:rFonts w:hint="eastAsia" w:ascii="华文仿宋" w:hAnsi="华文仿宋" w:eastAsia="方正仿宋简体" w:cs="方正仿宋简体"/>
          <w:color w:val="auto"/>
          <w:sz w:val="32"/>
          <w:szCs w:val="32"/>
        </w:rPr>
      </w:pPr>
      <w:r>
        <w:rPr>
          <w:rFonts w:hint="eastAsia" w:ascii="华文仿宋" w:hAnsi="华文仿宋" w:eastAsia="方正仿宋简体" w:cs="方正仿宋简体"/>
          <w:color w:val="auto"/>
          <w:sz w:val="32"/>
          <w:szCs w:val="32"/>
        </w:rPr>
        <w:t>其他社会保障缴费：反映单位为职工缴纳的基本医疗、失业、工伤、生育等社会保险费，残疾人就业保障金，军队（含武警）为军人缴纳的伤亡、退役医疗等社会保险费。</w:t>
      </w:r>
    </w:p>
    <w:p w14:paraId="7166C128">
      <w:pPr>
        <w:keepNext w:val="0"/>
        <w:keepLines w:val="0"/>
        <w:pageBreakBefore w:val="0"/>
        <w:kinsoku/>
        <w:wordWrap/>
        <w:overflowPunct/>
        <w:topLinePunct w:val="0"/>
        <w:autoSpaceDE/>
        <w:autoSpaceDN/>
        <w:bidi w:val="0"/>
        <w:adjustRightInd/>
        <w:snapToGrid/>
        <w:spacing w:line="576" w:lineRule="exact"/>
        <w:ind w:left="0" w:leftChars="0" w:firstLine="729" w:firstLineChars="228"/>
        <w:jc w:val="both"/>
        <w:rPr>
          <w:rFonts w:hint="eastAsia" w:ascii="华文仿宋" w:hAnsi="华文仿宋" w:eastAsia="方正仿宋简体" w:cs="方正仿宋简体"/>
          <w:color w:val="auto"/>
          <w:sz w:val="32"/>
          <w:szCs w:val="32"/>
        </w:rPr>
      </w:pPr>
      <w:r>
        <w:rPr>
          <w:rFonts w:hint="eastAsia" w:ascii="华文仿宋" w:hAnsi="华文仿宋" w:eastAsia="方正仿宋简体" w:cs="方正仿宋简体"/>
          <w:color w:val="auto"/>
          <w:sz w:val="32"/>
          <w:szCs w:val="32"/>
        </w:rPr>
        <w:t>住房公积金：反映行政事业单位按人力资源和社会保障部、财政部规定的基本工资和津贴补贴以及规定比例为职工缴纳的住房公积金。</w:t>
      </w:r>
    </w:p>
    <w:p w14:paraId="54228639">
      <w:pPr>
        <w:keepNext w:val="0"/>
        <w:keepLines w:val="0"/>
        <w:pageBreakBefore w:val="0"/>
        <w:kinsoku/>
        <w:wordWrap/>
        <w:overflowPunct/>
        <w:topLinePunct w:val="0"/>
        <w:autoSpaceDE/>
        <w:autoSpaceDN/>
        <w:bidi w:val="0"/>
        <w:adjustRightInd/>
        <w:snapToGrid/>
        <w:spacing w:line="576" w:lineRule="exact"/>
        <w:ind w:left="0" w:leftChars="0" w:firstLine="729" w:firstLineChars="228"/>
        <w:jc w:val="both"/>
        <w:rPr>
          <w:rFonts w:hint="eastAsia" w:ascii="华文仿宋" w:hAnsi="华文仿宋" w:eastAsia="方正仿宋简体" w:cs="方正仿宋简体"/>
          <w:color w:val="auto"/>
          <w:sz w:val="32"/>
          <w:szCs w:val="32"/>
        </w:rPr>
      </w:pPr>
      <w:r>
        <w:rPr>
          <w:rFonts w:hint="eastAsia" w:ascii="华文仿宋" w:hAnsi="华文仿宋" w:eastAsia="方正仿宋简体" w:cs="方正仿宋简体"/>
          <w:color w:val="auto"/>
          <w:sz w:val="32"/>
          <w:szCs w:val="32"/>
        </w:rPr>
        <w:t>商品和服务支出：反映单位购买商品和服务的支出（不包括用于购置固定资产的支出、战略性和应急储备支出）。</w:t>
      </w:r>
    </w:p>
    <w:p w14:paraId="67EA569F">
      <w:pPr>
        <w:keepNext w:val="0"/>
        <w:keepLines w:val="0"/>
        <w:pageBreakBefore w:val="0"/>
        <w:kinsoku/>
        <w:wordWrap/>
        <w:overflowPunct/>
        <w:topLinePunct w:val="0"/>
        <w:autoSpaceDE/>
        <w:autoSpaceDN/>
        <w:bidi w:val="0"/>
        <w:adjustRightInd/>
        <w:snapToGrid/>
        <w:spacing w:line="576" w:lineRule="exact"/>
        <w:ind w:left="0" w:leftChars="0" w:firstLine="729" w:firstLineChars="228"/>
        <w:jc w:val="both"/>
        <w:rPr>
          <w:rFonts w:hint="eastAsia" w:ascii="华文仿宋" w:hAnsi="华文仿宋" w:eastAsia="方正仿宋简体" w:cs="方正仿宋简体"/>
          <w:color w:val="auto"/>
          <w:sz w:val="32"/>
          <w:szCs w:val="32"/>
        </w:rPr>
      </w:pPr>
      <w:r>
        <w:rPr>
          <w:rFonts w:hint="eastAsia" w:ascii="华文仿宋" w:hAnsi="华文仿宋" w:eastAsia="方正仿宋简体" w:cs="方正仿宋简体"/>
          <w:color w:val="auto"/>
          <w:sz w:val="32"/>
          <w:szCs w:val="32"/>
        </w:rPr>
        <w:t>办公费：反映单位购买按财务会计制度规定不符合固定资产确认标准的日常办公用品、书报杂志等支出。</w:t>
      </w:r>
    </w:p>
    <w:p w14:paraId="484D38EE">
      <w:pPr>
        <w:keepNext w:val="0"/>
        <w:keepLines w:val="0"/>
        <w:pageBreakBefore w:val="0"/>
        <w:kinsoku/>
        <w:wordWrap/>
        <w:overflowPunct/>
        <w:topLinePunct w:val="0"/>
        <w:autoSpaceDE/>
        <w:autoSpaceDN/>
        <w:bidi w:val="0"/>
        <w:adjustRightInd/>
        <w:snapToGrid/>
        <w:spacing w:line="576" w:lineRule="exact"/>
        <w:ind w:left="0" w:leftChars="0" w:firstLine="729" w:firstLineChars="228"/>
        <w:jc w:val="both"/>
        <w:rPr>
          <w:rFonts w:hint="eastAsia" w:ascii="华文仿宋" w:hAnsi="华文仿宋" w:eastAsia="方正仿宋简体" w:cs="方正仿宋简体"/>
          <w:color w:val="auto"/>
          <w:sz w:val="32"/>
          <w:szCs w:val="32"/>
        </w:rPr>
      </w:pPr>
      <w:r>
        <w:rPr>
          <w:rFonts w:hint="eastAsia" w:ascii="华文仿宋" w:hAnsi="华文仿宋" w:eastAsia="方正仿宋简体" w:cs="方正仿宋简体"/>
          <w:color w:val="auto"/>
          <w:sz w:val="32"/>
          <w:szCs w:val="32"/>
        </w:rPr>
        <w:t>水费：反映单位支付的水费、污水处理费等支出。</w:t>
      </w:r>
    </w:p>
    <w:p w14:paraId="379E5F78">
      <w:pPr>
        <w:keepNext w:val="0"/>
        <w:keepLines w:val="0"/>
        <w:pageBreakBefore w:val="0"/>
        <w:kinsoku/>
        <w:wordWrap/>
        <w:overflowPunct/>
        <w:topLinePunct w:val="0"/>
        <w:autoSpaceDE/>
        <w:autoSpaceDN/>
        <w:bidi w:val="0"/>
        <w:adjustRightInd/>
        <w:snapToGrid/>
        <w:spacing w:line="576" w:lineRule="exact"/>
        <w:ind w:left="0" w:leftChars="0" w:firstLine="729" w:firstLineChars="228"/>
        <w:jc w:val="both"/>
        <w:rPr>
          <w:rFonts w:hint="eastAsia" w:ascii="华文仿宋" w:hAnsi="华文仿宋" w:eastAsia="方正仿宋简体" w:cs="方正仿宋简体"/>
          <w:color w:val="auto"/>
          <w:sz w:val="32"/>
          <w:szCs w:val="32"/>
        </w:rPr>
      </w:pPr>
      <w:r>
        <w:rPr>
          <w:rFonts w:hint="eastAsia" w:ascii="华文仿宋" w:hAnsi="华文仿宋" w:eastAsia="方正仿宋简体" w:cs="方正仿宋简体"/>
          <w:color w:val="auto"/>
          <w:sz w:val="32"/>
          <w:szCs w:val="32"/>
        </w:rPr>
        <w:t>电费：反映单位的电费支出。</w:t>
      </w:r>
    </w:p>
    <w:p w14:paraId="35AAAEA3">
      <w:pPr>
        <w:keepNext w:val="0"/>
        <w:keepLines w:val="0"/>
        <w:pageBreakBefore w:val="0"/>
        <w:kinsoku/>
        <w:wordWrap/>
        <w:overflowPunct/>
        <w:topLinePunct w:val="0"/>
        <w:autoSpaceDE/>
        <w:autoSpaceDN/>
        <w:bidi w:val="0"/>
        <w:adjustRightInd/>
        <w:snapToGrid/>
        <w:spacing w:line="576" w:lineRule="exact"/>
        <w:ind w:left="0" w:leftChars="0" w:firstLine="729" w:firstLineChars="228"/>
        <w:jc w:val="both"/>
        <w:rPr>
          <w:rFonts w:hint="eastAsia" w:ascii="华文仿宋" w:hAnsi="华文仿宋" w:eastAsia="方正仿宋简体" w:cs="方正仿宋简体"/>
          <w:color w:val="auto"/>
          <w:sz w:val="32"/>
          <w:szCs w:val="32"/>
        </w:rPr>
      </w:pPr>
      <w:r>
        <w:rPr>
          <w:rFonts w:hint="eastAsia" w:ascii="华文仿宋" w:hAnsi="华文仿宋" w:eastAsia="方正仿宋简体" w:cs="方正仿宋简体"/>
          <w:color w:val="auto"/>
          <w:sz w:val="32"/>
          <w:szCs w:val="32"/>
        </w:rPr>
        <w:t>邮电费：反映单位开支的信函、包裹、货物等物品的邮寄费及电话费、电报费、传真费、网络通讯费等。</w:t>
      </w:r>
    </w:p>
    <w:p w14:paraId="2656DED8">
      <w:pPr>
        <w:keepNext w:val="0"/>
        <w:keepLines w:val="0"/>
        <w:pageBreakBefore w:val="0"/>
        <w:kinsoku/>
        <w:wordWrap/>
        <w:overflowPunct/>
        <w:topLinePunct w:val="0"/>
        <w:autoSpaceDE/>
        <w:autoSpaceDN/>
        <w:bidi w:val="0"/>
        <w:adjustRightInd/>
        <w:snapToGrid/>
        <w:spacing w:line="576" w:lineRule="exact"/>
        <w:ind w:left="0" w:leftChars="0" w:firstLine="729" w:firstLineChars="228"/>
        <w:jc w:val="both"/>
        <w:rPr>
          <w:rFonts w:hint="eastAsia" w:ascii="华文仿宋" w:hAnsi="华文仿宋" w:eastAsia="方正仿宋简体" w:cs="方正仿宋简体"/>
          <w:color w:val="auto"/>
          <w:sz w:val="32"/>
          <w:szCs w:val="32"/>
        </w:rPr>
      </w:pPr>
      <w:r>
        <w:rPr>
          <w:rFonts w:hint="eastAsia" w:ascii="华文仿宋" w:hAnsi="华文仿宋" w:eastAsia="方正仿宋简体" w:cs="方正仿宋简体"/>
          <w:color w:val="auto"/>
          <w:sz w:val="32"/>
          <w:szCs w:val="32"/>
        </w:rPr>
        <w:t>差旅费：反映单位工作人员出差发生的城市间交通费、住宿费、伙食补贴费和市内交通费。</w:t>
      </w:r>
    </w:p>
    <w:p w14:paraId="302777A2">
      <w:pPr>
        <w:keepNext w:val="0"/>
        <w:keepLines w:val="0"/>
        <w:pageBreakBefore w:val="0"/>
        <w:kinsoku/>
        <w:wordWrap/>
        <w:overflowPunct/>
        <w:topLinePunct w:val="0"/>
        <w:autoSpaceDE/>
        <w:autoSpaceDN/>
        <w:bidi w:val="0"/>
        <w:adjustRightInd/>
        <w:snapToGrid/>
        <w:spacing w:line="576" w:lineRule="exact"/>
        <w:ind w:left="0" w:leftChars="0" w:firstLine="729" w:firstLineChars="228"/>
        <w:jc w:val="both"/>
        <w:rPr>
          <w:rFonts w:hint="eastAsia" w:ascii="华文仿宋" w:hAnsi="华文仿宋" w:eastAsia="方正仿宋简体" w:cs="方正仿宋简体"/>
          <w:color w:val="auto"/>
          <w:sz w:val="32"/>
          <w:szCs w:val="32"/>
        </w:rPr>
      </w:pPr>
      <w:r>
        <w:rPr>
          <w:rFonts w:hint="eastAsia" w:ascii="华文仿宋" w:hAnsi="华文仿宋" w:eastAsia="方正仿宋简体" w:cs="方正仿宋简体"/>
          <w:color w:val="auto"/>
          <w:sz w:val="32"/>
          <w:szCs w:val="32"/>
        </w:rPr>
        <w:t>维修(护)费：反映单位日常开支的固定资产（不包括车船等交通工具）修理和维护费用，网络信息系统运行与维护费用，以及按规定提取的修购基金。</w:t>
      </w:r>
    </w:p>
    <w:p w14:paraId="7C5E2CEF">
      <w:pPr>
        <w:keepNext w:val="0"/>
        <w:keepLines w:val="0"/>
        <w:pageBreakBefore w:val="0"/>
        <w:kinsoku/>
        <w:wordWrap/>
        <w:overflowPunct/>
        <w:topLinePunct w:val="0"/>
        <w:autoSpaceDE/>
        <w:autoSpaceDN/>
        <w:bidi w:val="0"/>
        <w:adjustRightInd/>
        <w:snapToGrid/>
        <w:spacing w:line="576" w:lineRule="exact"/>
        <w:ind w:left="0" w:leftChars="0" w:firstLine="729" w:firstLineChars="228"/>
        <w:jc w:val="both"/>
        <w:rPr>
          <w:rFonts w:hint="eastAsia" w:ascii="华文仿宋" w:hAnsi="华文仿宋" w:eastAsia="方正仿宋简体" w:cs="方正仿宋简体"/>
          <w:color w:val="auto"/>
          <w:sz w:val="32"/>
          <w:szCs w:val="32"/>
        </w:rPr>
      </w:pPr>
      <w:r>
        <w:rPr>
          <w:rFonts w:hint="eastAsia" w:ascii="华文仿宋" w:hAnsi="华文仿宋" w:eastAsia="方正仿宋简体" w:cs="方正仿宋简体"/>
          <w:color w:val="auto"/>
          <w:sz w:val="32"/>
          <w:szCs w:val="32"/>
        </w:rPr>
        <w:t>公务接待费：反映单位按规定开支的各类公务接待（含外宾接待）费用。</w:t>
      </w:r>
    </w:p>
    <w:p w14:paraId="14F5EABC">
      <w:pPr>
        <w:keepNext w:val="0"/>
        <w:keepLines w:val="0"/>
        <w:pageBreakBefore w:val="0"/>
        <w:kinsoku/>
        <w:wordWrap/>
        <w:overflowPunct/>
        <w:topLinePunct w:val="0"/>
        <w:autoSpaceDE/>
        <w:autoSpaceDN/>
        <w:bidi w:val="0"/>
        <w:adjustRightInd/>
        <w:snapToGrid/>
        <w:spacing w:line="576" w:lineRule="exact"/>
        <w:ind w:left="0" w:leftChars="0" w:firstLine="729" w:firstLineChars="228"/>
        <w:jc w:val="both"/>
        <w:rPr>
          <w:rFonts w:hint="eastAsia" w:ascii="华文仿宋" w:hAnsi="华文仿宋" w:eastAsia="方正仿宋简体" w:cs="方正仿宋简体"/>
          <w:color w:val="auto"/>
          <w:sz w:val="32"/>
          <w:szCs w:val="32"/>
        </w:rPr>
      </w:pPr>
      <w:r>
        <w:rPr>
          <w:rFonts w:hint="eastAsia" w:ascii="华文仿宋" w:hAnsi="华文仿宋" w:eastAsia="方正仿宋简体" w:cs="方正仿宋简体"/>
          <w:color w:val="auto"/>
          <w:sz w:val="32"/>
          <w:szCs w:val="32"/>
        </w:rPr>
        <w:t>工会经费：反映单位按规定提取的工会经费。</w:t>
      </w:r>
    </w:p>
    <w:p w14:paraId="41B4AFC0">
      <w:pPr>
        <w:keepNext w:val="0"/>
        <w:keepLines w:val="0"/>
        <w:pageBreakBefore w:val="0"/>
        <w:kinsoku/>
        <w:wordWrap/>
        <w:overflowPunct/>
        <w:topLinePunct w:val="0"/>
        <w:autoSpaceDE/>
        <w:autoSpaceDN/>
        <w:bidi w:val="0"/>
        <w:adjustRightInd/>
        <w:snapToGrid/>
        <w:spacing w:line="576" w:lineRule="exact"/>
        <w:ind w:left="0" w:leftChars="0" w:firstLine="729" w:firstLineChars="228"/>
        <w:jc w:val="both"/>
        <w:rPr>
          <w:rFonts w:hint="eastAsia" w:ascii="华文仿宋" w:hAnsi="华文仿宋" w:eastAsia="方正仿宋简体" w:cs="方正仿宋简体"/>
          <w:color w:val="auto"/>
          <w:sz w:val="32"/>
          <w:szCs w:val="32"/>
        </w:rPr>
      </w:pPr>
      <w:r>
        <w:rPr>
          <w:rFonts w:hint="eastAsia" w:ascii="华文仿宋" w:hAnsi="华文仿宋" w:eastAsia="方正仿宋简体" w:cs="方正仿宋简体"/>
          <w:color w:val="auto"/>
          <w:sz w:val="32"/>
          <w:szCs w:val="32"/>
        </w:rPr>
        <w:t>其他交通费用：反映单位除公务用车运行维护费以外的其他交通费用。如公务交通补贴，租车费用、出租车费用，飞机、船舶等的燃料费、维修费、保险费等。</w:t>
      </w:r>
    </w:p>
    <w:p w14:paraId="72C69D00">
      <w:pPr>
        <w:keepNext w:val="0"/>
        <w:keepLines w:val="0"/>
        <w:pageBreakBefore w:val="0"/>
        <w:kinsoku/>
        <w:wordWrap/>
        <w:overflowPunct/>
        <w:topLinePunct w:val="0"/>
        <w:autoSpaceDE/>
        <w:autoSpaceDN/>
        <w:bidi w:val="0"/>
        <w:adjustRightInd/>
        <w:snapToGrid/>
        <w:spacing w:line="576" w:lineRule="exact"/>
        <w:ind w:left="0" w:leftChars="0" w:firstLine="729" w:firstLineChars="228"/>
        <w:jc w:val="both"/>
        <w:rPr>
          <w:rFonts w:hint="eastAsia" w:ascii="华文仿宋" w:hAnsi="华文仿宋" w:eastAsia="方正仿宋简体" w:cs="方正仿宋简体"/>
          <w:color w:val="auto"/>
          <w:sz w:val="32"/>
          <w:szCs w:val="32"/>
        </w:rPr>
      </w:pPr>
      <w:r>
        <w:rPr>
          <w:rFonts w:hint="eastAsia" w:ascii="华文仿宋" w:hAnsi="华文仿宋" w:eastAsia="方正仿宋简体" w:cs="方正仿宋简体"/>
          <w:color w:val="auto"/>
          <w:sz w:val="32"/>
          <w:szCs w:val="32"/>
        </w:rPr>
        <w:t>对个人和家庭的补助：反映政府用于对个人和家庭的补助支出。</w:t>
      </w:r>
    </w:p>
    <w:p w14:paraId="10EC7631">
      <w:pPr>
        <w:keepNext w:val="0"/>
        <w:keepLines w:val="0"/>
        <w:pageBreakBefore w:val="0"/>
        <w:kinsoku/>
        <w:wordWrap/>
        <w:overflowPunct/>
        <w:topLinePunct w:val="0"/>
        <w:autoSpaceDE/>
        <w:autoSpaceDN/>
        <w:bidi w:val="0"/>
        <w:adjustRightInd/>
        <w:snapToGrid/>
        <w:spacing w:line="576" w:lineRule="exact"/>
        <w:ind w:left="0" w:leftChars="0" w:firstLine="729" w:firstLineChars="228"/>
        <w:jc w:val="both"/>
        <w:rPr>
          <w:rFonts w:hint="eastAsia" w:ascii="华文仿宋" w:hAnsi="华文仿宋" w:eastAsia="方正仿宋简体" w:cs="方正仿宋简体"/>
          <w:color w:val="auto"/>
          <w:sz w:val="32"/>
          <w:szCs w:val="32"/>
        </w:rPr>
      </w:pPr>
      <w:r>
        <w:rPr>
          <w:rFonts w:hint="eastAsia" w:ascii="华文仿宋" w:hAnsi="华文仿宋" w:eastAsia="方正仿宋简体" w:cs="方正仿宋简体"/>
          <w:color w:val="auto"/>
          <w:sz w:val="32"/>
          <w:szCs w:val="32"/>
        </w:rPr>
        <w:t>退休费：反映行政事业单位和军队移交政府安置的退休人员的退休费和其他补贴。</w:t>
      </w:r>
    </w:p>
    <w:p w14:paraId="3AEE71D8">
      <w:pPr>
        <w:keepNext w:val="0"/>
        <w:keepLines w:val="0"/>
        <w:pageBreakBefore w:val="0"/>
        <w:kinsoku/>
        <w:wordWrap/>
        <w:overflowPunct/>
        <w:topLinePunct w:val="0"/>
        <w:autoSpaceDE/>
        <w:autoSpaceDN/>
        <w:bidi w:val="0"/>
        <w:adjustRightInd/>
        <w:snapToGrid/>
        <w:spacing w:line="576" w:lineRule="exact"/>
        <w:ind w:left="0" w:leftChars="0" w:firstLine="729" w:firstLineChars="228"/>
        <w:jc w:val="both"/>
        <w:rPr>
          <w:rFonts w:hint="eastAsia" w:ascii="华文仿宋" w:hAnsi="华文仿宋" w:eastAsia="方正仿宋简体" w:cs="方正仿宋简体"/>
          <w:color w:val="auto"/>
          <w:sz w:val="32"/>
          <w:szCs w:val="32"/>
        </w:rPr>
      </w:pPr>
      <w:r>
        <w:rPr>
          <w:rFonts w:hint="eastAsia" w:ascii="华文仿宋" w:hAnsi="华文仿宋" w:eastAsia="方正仿宋简体" w:cs="方正仿宋简体"/>
          <w:color w:val="auto"/>
          <w:sz w:val="32"/>
          <w:szCs w:val="32"/>
        </w:rPr>
        <w:t>生活补助：反映按规定开支的优抚对象定期定量生活补助费，退役军人生活补助费，行政事业单位职工和遗属生活补助，因公负伤等住院治疗、住疗养院期间的伙食补助费，长期赡养人员补助费，由于国家实行退耕还林禁牧舍饲政策补偿给农牧民的现金、粮食支出，对农村党员、复员军人。</w:t>
      </w:r>
    </w:p>
    <w:p w14:paraId="345AC948">
      <w:pPr>
        <w:keepNext w:val="0"/>
        <w:keepLines w:val="0"/>
        <w:pageBreakBefore w:val="0"/>
        <w:kinsoku/>
        <w:wordWrap/>
        <w:overflowPunct/>
        <w:topLinePunct w:val="0"/>
        <w:autoSpaceDE/>
        <w:autoSpaceDN/>
        <w:bidi w:val="0"/>
        <w:adjustRightInd/>
        <w:snapToGrid/>
        <w:spacing w:line="576" w:lineRule="exact"/>
        <w:ind w:left="0" w:leftChars="0" w:firstLine="729" w:firstLineChars="228"/>
        <w:jc w:val="both"/>
        <w:rPr>
          <w:rFonts w:hint="eastAsia" w:ascii="华文仿宋" w:hAnsi="华文仿宋" w:eastAsia="方正仿宋简体" w:cs="方正仿宋简体"/>
          <w:color w:val="auto"/>
          <w:sz w:val="32"/>
          <w:szCs w:val="32"/>
        </w:rPr>
      </w:pPr>
      <w:r>
        <w:rPr>
          <w:rFonts w:hint="eastAsia" w:ascii="华文仿宋" w:hAnsi="华文仿宋" w:eastAsia="方正仿宋简体" w:cs="方正仿宋简体"/>
          <w:color w:val="auto"/>
          <w:sz w:val="32"/>
          <w:szCs w:val="32"/>
        </w:rPr>
        <w:t>奖励金：反映政府各部门的奖励支出，如对个体私营经济的奖励、计划生育目标责任奖励、独生子女父母奖励等。</w:t>
      </w:r>
    </w:p>
    <w:p w14:paraId="5EC76ACE">
      <w:pPr>
        <w:keepNext w:val="0"/>
        <w:keepLines w:val="0"/>
        <w:pageBreakBefore w:val="0"/>
        <w:kinsoku/>
        <w:wordWrap/>
        <w:overflowPunct/>
        <w:topLinePunct w:val="0"/>
        <w:autoSpaceDE/>
        <w:autoSpaceDN/>
        <w:bidi w:val="0"/>
        <w:adjustRightInd/>
        <w:snapToGrid/>
        <w:spacing w:line="576" w:lineRule="exact"/>
        <w:ind w:left="0" w:leftChars="0" w:firstLine="729" w:firstLineChars="228"/>
        <w:jc w:val="both"/>
        <w:rPr>
          <w:rFonts w:hint="eastAsia" w:ascii="华文仿宋" w:hAnsi="华文仿宋" w:eastAsia="方正仿宋简体" w:cs="方正仿宋简体"/>
          <w:color w:val="auto"/>
          <w:sz w:val="32"/>
          <w:szCs w:val="32"/>
        </w:rPr>
      </w:pPr>
      <w:r>
        <w:rPr>
          <w:rFonts w:hint="eastAsia" w:ascii="华文仿宋" w:hAnsi="华文仿宋" w:eastAsia="方正仿宋简体" w:cs="方正仿宋简体"/>
          <w:color w:val="auto"/>
          <w:sz w:val="32"/>
          <w:szCs w:val="32"/>
        </w:rPr>
        <w:t>其他资本性支出：反映发展与改革部门以外的其他部门安排的用于购置固定资产、战略性和应急性储备、土地和无形资产，以及购建基础设施、大型修缮和财政支持企业更新改造所发生的支出。</w:t>
      </w:r>
    </w:p>
    <w:p w14:paraId="28FBE0F3">
      <w:pPr>
        <w:keepNext w:val="0"/>
        <w:keepLines w:val="0"/>
        <w:pageBreakBefore w:val="0"/>
        <w:kinsoku/>
        <w:wordWrap/>
        <w:overflowPunct/>
        <w:topLinePunct w:val="0"/>
        <w:autoSpaceDE/>
        <w:autoSpaceDN/>
        <w:bidi w:val="0"/>
        <w:adjustRightInd/>
        <w:snapToGrid/>
        <w:spacing w:line="576" w:lineRule="exact"/>
        <w:ind w:left="0" w:leftChars="0" w:firstLine="729" w:firstLineChars="228"/>
        <w:jc w:val="both"/>
        <w:rPr>
          <w:rFonts w:eastAsia="仿宋_GB2312"/>
          <w:sz w:val="32"/>
          <w:szCs w:val="32"/>
        </w:rPr>
      </w:pPr>
      <w:r>
        <w:rPr>
          <w:rFonts w:hint="eastAsia" w:ascii="华文仿宋" w:hAnsi="华文仿宋" w:eastAsia="方正仿宋简体" w:cs="方正仿宋简体"/>
          <w:color w:val="auto"/>
          <w:sz w:val="32"/>
          <w:szCs w:val="32"/>
        </w:rPr>
        <w:t>办公设备购置：反映用于购置并按财务会计制度规定纳入固定资产核算范围的办公家具和办公设备的支出，以及按规定提取的修购基金。</w:t>
      </w:r>
    </w:p>
    <w:p w14:paraId="1D7110EC">
      <w:pPr>
        <w:keepNext w:val="0"/>
        <w:keepLines w:val="0"/>
        <w:pageBreakBefore w:val="0"/>
        <w:kinsoku/>
        <w:wordWrap/>
        <w:overflowPunct/>
        <w:topLinePunct w:val="0"/>
        <w:autoSpaceDE/>
        <w:autoSpaceDN/>
        <w:bidi w:val="0"/>
        <w:adjustRightInd/>
        <w:snapToGrid/>
        <w:spacing w:line="576" w:lineRule="exact"/>
        <w:ind w:left="0" w:leftChars="0" w:firstLine="729" w:firstLineChars="228"/>
        <w:jc w:val="both"/>
        <w:rPr>
          <w:rFonts w:hint="eastAsia" w:ascii="华文仿宋" w:hAnsi="华文仿宋" w:eastAsia="方正仿宋简体" w:cs="方正仿宋简体"/>
          <w:color w:val="auto"/>
          <w:sz w:val="32"/>
          <w:szCs w:val="32"/>
        </w:rPr>
      </w:pPr>
      <w:r>
        <w:rPr>
          <w:rFonts w:hint="eastAsia" w:ascii="华文仿宋" w:hAnsi="华文仿宋" w:eastAsia="方正仿宋简体" w:cs="方正仿宋简体"/>
          <w:color w:val="auto"/>
          <w:sz w:val="32"/>
          <w:szCs w:val="32"/>
        </w:rPr>
        <w:t>一般公共预算</w:t>
      </w:r>
      <w:r>
        <w:rPr>
          <w:rFonts w:hint="eastAsia" w:ascii="华文仿宋" w:hAnsi="华文仿宋" w:eastAsia="方正仿宋简体" w:cs="方正仿宋简体"/>
          <w:color w:val="auto"/>
          <w:sz w:val="32"/>
          <w:szCs w:val="32"/>
          <w:lang w:eastAsia="zh-CN"/>
        </w:rPr>
        <w:t>：</w:t>
      </w:r>
      <w:r>
        <w:rPr>
          <w:rFonts w:hint="eastAsia" w:ascii="华文仿宋" w:hAnsi="华文仿宋" w:eastAsia="方正仿宋简体" w:cs="方正仿宋简体"/>
          <w:color w:val="auto"/>
          <w:sz w:val="32"/>
          <w:szCs w:val="32"/>
        </w:rPr>
        <w:t>原公共财政预算</w:t>
      </w:r>
      <w:r>
        <w:rPr>
          <w:rFonts w:hint="eastAsia" w:ascii="华文仿宋" w:hAnsi="华文仿宋" w:eastAsia="方正仿宋简体" w:cs="方正仿宋简体"/>
          <w:color w:val="auto"/>
          <w:sz w:val="32"/>
          <w:szCs w:val="32"/>
          <w:lang w:eastAsia="zh-CN"/>
        </w:rPr>
        <w:t>，</w:t>
      </w:r>
      <w:r>
        <w:rPr>
          <w:rFonts w:hint="eastAsia" w:ascii="华文仿宋" w:hAnsi="华文仿宋" w:eastAsia="方正仿宋简体" w:cs="方正仿宋简体"/>
          <w:color w:val="auto"/>
          <w:sz w:val="32"/>
          <w:szCs w:val="32"/>
        </w:rPr>
        <w:t>按照新《预算法》要求,更名为一般公共预算。是指政府凭借国家政治权力</w:t>
      </w:r>
      <w:r>
        <w:rPr>
          <w:rFonts w:hint="eastAsia" w:ascii="华文仿宋" w:hAnsi="华文仿宋" w:eastAsia="方正仿宋简体" w:cs="方正仿宋简体"/>
          <w:color w:val="auto"/>
          <w:sz w:val="32"/>
          <w:szCs w:val="32"/>
          <w:lang w:eastAsia="zh-CN"/>
        </w:rPr>
        <w:t>，</w:t>
      </w:r>
      <w:r>
        <w:rPr>
          <w:rFonts w:hint="eastAsia" w:ascii="华文仿宋" w:hAnsi="华文仿宋" w:eastAsia="方正仿宋简体" w:cs="方正仿宋简体"/>
          <w:color w:val="auto"/>
          <w:sz w:val="32"/>
          <w:szCs w:val="32"/>
        </w:rPr>
        <w:t>以社会管理者身份筹集以税收为主体的财政收入</w:t>
      </w:r>
      <w:r>
        <w:rPr>
          <w:rFonts w:hint="eastAsia" w:ascii="华文仿宋" w:hAnsi="华文仿宋" w:eastAsia="方正仿宋简体" w:cs="方正仿宋简体"/>
          <w:color w:val="auto"/>
          <w:sz w:val="32"/>
          <w:szCs w:val="32"/>
          <w:lang w:eastAsia="zh-CN"/>
        </w:rPr>
        <w:t>，</w:t>
      </w:r>
      <w:r>
        <w:rPr>
          <w:rFonts w:hint="eastAsia" w:ascii="华文仿宋" w:hAnsi="华文仿宋" w:eastAsia="方正仿宋简体" w:cs="方正仿宋简体"/>
          <w:color w:val="auto"/>
          <w:sz w:val="32"/>
          <w:szCs w:val="32"/>
        </w:rPr>
        <w:t>用于保障和改善民生、维持国家行政职能正常行使、保障国家安全等方面的收支预算。一般公共预算收入预算包括:地方本级预算收入、转移性收入、调入预算稳定调节基金、地方政府债券收入和上年结余收入。一般公共预算支出预算编制内容包括地方本级预算支出、转移性支出、地方政府债券还本支出、安排预算稳定调节基金、增设预算周转金和年末累计结余。</w:t>
      </w:r>
    </w:p>
    <w:p w14:paraId="04E62D33">
      <w:pPr>
        <w:keepNext w:val="0"/>
        <w:keepLines w:val="0"/>
        <w:pageBreakBefore w:val="0"/>
        <w:kinsoku/>
        <w:wordWrap/>
        <w:overflowPunct/>
        <w:topLinePunct w:val="0"/>
        <w:autoSpaceDE/>
        <w:autoSpaceDN/>
        <w:bidi w:val="0"/>
        <w:adjustRightInd/>
        <w:snapToGrid/>
        <w:spacing w:line="576" w:lineRule="exact"/>
        <w:ind w:left="0" w:leftChars="0" w:firstLine="729" w:firstLineChars="228"/>
        <w:jc w:val="both"/>
        <w:rPr>
          <w:rFonts w:hint="eastAsia" w:ascii="华文仿宋" w:hAnsi="华文仿宋" w:eastAsia="方正仿宋简体" w:cs="方正仿宋简体"/>
          <w:color w:val="auto"/>
          <w:sz w:val="32"/>
          <w:szCs w:val="32"/>
        </w:rPr>
      </w:pPr>
    </w:p>
    <w:p w14:paraId="4FCF3A04">
      <w:pPr>
        <w:keepNext w:val="0"/>
        <w:keepLines w:val="0"/>
        <w:pageBreakBefore w:val="0"/>
        <w:kinsoku/>
        <w:wordWrap/>
        <w:overflowPunct/>
        <w:topLinePunct w:val="0"/>
        <w:autoSpaceDE/>
        <w:autoSpaceDN/>
        <w:bidi w:val="0"/>
        <w:adjustRightInd/>
        <w:snapToGrid/>
        <w:spacing w:line="576" w:lineRule="exact"/>
        <w:ind w:left="0" w:leftChars="0" w:firstLine="729" w:firstLineChars="228"/>
        <w:jc w:val="both"/>
        <w:rPr>
          <w:rFonts w:hint="eastAsia" w:ascii="华文仿宋" w:hAnsi="华文仿宋" w:eastAsia="方正仿宋简体" w:cs="方正仿宋简体"/>
          <w:color w:val="auto"/>
          <w:sz w:val="32"/>
          <w:szCs w:val="32"/>
        </w:rPr>
      </w:pPr>
    </w:p>
    <w:p w14:paraId="0D152F51">
      <w:pPr>
        <w:keepNext w:val="0"/>
        <w:keepLines w:val="0"/>
        <w:pageBreakBefore w:val="0"/>
        <w:kinsoku/>
        <w:wordWrap/>
        <w:overflowPunct/>
        <w:topLinePunct w:val="0"/>
        <w:autoSpaceDE/>
        <w:autoSpaceDN/>
        <w:bidi w:val="0"/>
        <w:adjustRightInd/>
        <w:snapToGrid/>
        <w:spacing w:line="576" w:lineRule="exact"/>
        <w:ind w:left="0" w:leftChars="0" w:firstLine="729" w:firstLineChars="228"/>
        <w:jc w:val="both"/>
        <w:rPr>
          <w:rFonts w:hint="eastAsia" w:ascii="华文仿宋" w:hAnsi="华文仿宋" w:eastAsia="方正仿宋简体" w:cs="方正仿宋简体"/>
          <w:color w:val="auto"/>
          <w:sz w:val="32"/>
          <w:szCs w:val="32"/>
        </w:rPr>
      </w:pPr>
    </w:p>
    <w:p w14:paraId="1DF0D81D">
      <w:pPr>
        <w:pStyle w:val="15"/>
        <w:jc w:val="center"/>
        <w:rPr>
          <w:rFonts w:ascii="Times New Roman" w:hAnsi="Times New Roman" w:cs="Times New Roman"/>
          <w:sz w:val="72"/>
          <w:szCs w:val="72"/>
        </w:rPr>
      </w:pPr>
    </w:p>
    <w:p w14:paraId="699C0DD6">
      <w:pPr>
        <w:pStyle w:val="15"/>
        <w:jc w:val="center"/>
        <w:rPr>
          <w:rFonts w:ascii="Times New Roman" w:hAnsi="Times New Roman" w:cs="Times New Roman"/>
          <w:sz w:val="72"/>
          <w:szCs w:val="72"/>
        </w:rPr>
      </w:pPr>
    </w:p>
    <w:p w14:paraId="114156CA">
      <w:pPr>
        <w:pStyle w:val="15"/>
        <w:jc w:val="both"/>
        <w:rPr>
          <w:rFonts w:ascii="Times New Roman" w:hAnsi="Times New Roman" w:cs="Times New Roman"/>
          <w:sz w:val="72"/>
          <w:szCs w:val="72"/>
        </w:rPr>
      </w:pPr>
    </w:p>
    <w:p w14:paraId="52A7D48D">
      <w:pPr>
        <w:rPr>
          <w:rFonts w:ascii="Times New Roman" w:hAnsi="Times New Roman" w:eastAsia="方正小标宋_GBK" w:cs="Times New Roman"/>
          <w:sz w:val="52"/>
          <w:szCs w:val="52"/>
        </w:rPr>
      </w:pPr>
      <w:r>
        <w:rPr>
          <w:rFonts w:ascii="Times New Roman" w:hAnsi="Times New Roman" w:eastAsia="方正小标宋_GBK" w:cs="Times New Roman"/>
          <w:sz w:val="52"/>
          <w:szCs w:val="52"/>
        </w:rPr>
        <w:br w:type="page"/>
      </w:r>
    </w:p>
    <w:p w14:paraId="7D2ABF34">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第五部分   附 件</w:t>
      </w:r>
    </w:p>
    <w:p w14:paraId="1056AFAC">
      <w:pPr>
        <w:rPr>
          <w:rFonts w:ascii="Times New Roman" w:hAnsi="Times New Roman" w:cs="Times New Roman"/>
          <w:sz w:val="72"/>
          <w:szCs w:val="72"/>
        </w:rPr>
      </w:pPr>
    </w:p>
    <w:p w14:paraId="5B0F5771">
      <w:pPr>
        <w:pStyle w:val="15"/>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一、</w:t>
      </w:r>
      <w:r>
        <w:rPr>
          <w:rFonts w:ascii="Times New Roman" w:hAnsi="Times New Roman" w:eastAsia="仿宋_GB2312" w:cs="Times New Roman"/>
          <w:sz w:val="32"/>
          <w:szCs w:val="32"/>
        </w:rPr>
        <w:t>2024年度部门(单位)整体支出绩效自评报告。</w:t>
      </w:r>
    </w:p>
    <w:p w14:paraId="5FB17447">
      <w:pPr>
        <w:pStyle w:val="15"/>
        <w:ind w:firstLine="1280" w:firstLineChars="400"/>
        <w:rPr>
          <w:rFonts w:ascii="Times New Roman" w:hAnsi="Times New Roman" w:eastAsia="仿宋_GB2312" w:cs="Times New Roman"/>
          <w:sz w:val="32"/>
          <w:szCs w:val="32"/>
        </w:rPr>
      </w:pPr>
      <w:r>
        <w:rPr>
          <w:rFonts w:ascii="Times New Roman" w:hAnsi="Times New Roman" w:eastAsia="仿宋_GB2312" w:cs="Times New Roman"/>
          <w:sz w:val="32"/>
          <w:szCs w:val="32"/>
        </w:rPr>
        <w:t>………</w:t>
      </w:r>
    </w:p>
    <w:p w14:paraId="41FDBCC0">
      <w:pPr>
        <w:pStyle w:val="15"/>
        <w:spacing w:line="600" w:lineRule="exact"/>
        <w:ind w:firstLine="640" w:firstLineChars="200"/>
        <w:rPr>
          <w:rFonts w:ascii="Times New Roman" w:hAnsi="Times New Roman" w:eastAsia="仿宋_GB2312" w:cs="Times New Roman"/>
          <w:sz w:val="32"/>
          <w:szCs w:val="32"/>
        </w:rPr>
      </w:pPr>
    </w:p>
    <w:p w14:paraId="10C38F9D">
      <w:pPr>
        <w:pStyle w:val="15"/>
        <w:jc w:val="center"/>
        <w:rPr>
          <w:rFonts w:ascii="Times New Roman" w:hAnsi="Times New Roman" w:cs="Times New Roman"/>
          <w:sz w:val="72"/>
          <w:szCs w:val="72"/>
        </w:rPr>
      </w:pPr>
    </w:p>
    <w:p w14:paraId="31734F06">
      <w:pPr>
        <w:pStyle w:val="15"/>
        <w:jc w:val="center"/>
        <w:rPr>
          <w:rFonts w:ascii="Times New Roman" w:hAnsi="Times New Roman" w:cs="Times New Roman"/>
          <w:sz w:val="72"/>
          <w:szCs w:val="72"/>
        </w:rPr>
      </w:pPr>
    </w:p>
    <w:p w14:paraId="7B56D768">
      <w:pPr>
        <w:jc w:val="left"/>
        <w:rPr>
          <w:rFonts w:ascii="Times New Roman" w:hAnsi="Times New Roman" w:cs="Times New Roman"/>
          <w:color w:val="000000"/>
          <w:kern w:val="0"/>
          <w:sz w:val="32"/>
          <w:szCs w:val="32"/>
        </w:rPr>
      </w:pPr>
    </w:p>
    <w:sectPr>
      <w:type w:val="continuous"/>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script"/>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汉仪中宋简">
    <w:panose1 w:val="02010600000101010101"/>
    <w:charset w:val="86"/>
    <w:family w:val="auto"/>
    <w:pitch w:val="default"/>
    <w:sig w:usb0="00000001" w:usb1="080E0800" w:usb2="00000002"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方正仿宋简体">
    <w:altName w:val="方正仿宋_GBK"/>
    <w:panose1 w:val="03000509000000000000"/>
    <w:charset w:val="86"/>
    <w:family w:val="auto"/>
    <w:pitch w:val="default"/>
    <w:sig w:usb0="00000000" w:usb1="00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03C697">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6BFBE9">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A71A8A">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EB9167">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58AFA9">
                          <w:pPr>
                            <w:pStyle w:val="7"/>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2C58AFA9">
                    <w:pPr>
                      <w:pStyle w:val="7"/>
                    </w:pPr>
                    <w:r>
                      <w:fldChar w:fldCharType="begin"/>
                    </w:r>
                    <w:r>
                      <w:instrText xml:space="preserve"> PAGE  \* MERGEFORMAT </w:instrText>
                    </w:r>
                    <w:r>
                      <w:fldChar w:fldCharType="separate"/>
                    </w:r>
                    <w:r>
                      <w:t>20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4AD327"/>
    <w:multiLevelType w:val="singleLevel"/>
    <w:tmpl w:val="874AD327"/>
    <w:lvl w:ilvl="0" w:tentative="0">
      <w:start w:val="13"/>
      <w:numFmt w:val="chineseCounting"/>
      <w:suff w:val="nothing"/>
      <w:lvlText w:val="%1、"/>
      <w:lvlJc w:val="left"/>
      <w:rPr>
        <w:rFonts w:hint="eastAsia"/>
      </w:rPr>
    </w:lvl>
  </w:abstractNum>
  <w:abstractNum w:abstractNumId="1">
    <w:nsid w:val="889F7EFF"/>
    <w:multiLevelType w:val="singleLevel"/>
    <w:tmpl w:val="889F7EFF"/>
    <w:lvl w:ilvl="0" w:tentative="0">
      <w:start w:val="2"/>
      <w:numFmt w:val="decimal"/>
      <w:suff w:val="nothing"/>
      <w:lvlText w:val="%1、"/>
      <w:lvlJc w:val="left"/>
    </w:lvl>
  </w:abstractNum>
  <w:abstractNum w:abstractNumId="2">
    <w:nsid w:val="DFEB601C"/>
    <w:multiLevelType w:val="singleLevel"/>
    <w:tmpl w:val="DFEB601C"/>
    <w:lvl w:ilvl="0" w:tentative="0">
      <w:start w:val="2"/>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C844494"/>
    <w:rsid w:val="0E727DD8"/>
    <w:rsid w:val="0FF13065"/>
    <w:rsid w:val="14A72E9C"/>
    <w:rsid w:val="1D97DEFF"/>
    <w:rsid w:val="1DFF72E5"/>
    <w:rsid w:val="1EFC6F07"/>
    <w:rsid w:val="22F0399A"/>
    <w:rsid w:val="28FE6071"/>
    <w:rsid w:val="2FDF85B8"/>
    <w:rsid w:val="2FFFEE04"/>
    <w:rsid w:val="34DF85B0"/>
    <w:rsid w:val="3B4FCC43"/>
    <w:rsid w:val="3B8F36BC"/>
    <w:rsid w:val="3F6C1B91"/>
    <w:rsid w:val="491FF225"/>
    <w:rsid w:val="4FFD214C"/>
    <w:rsid w:val="5777D4F5"/>
    <w:rsid w:val="59DD8326"/>
    <w:rsid w:val="5DEF592A"/>
    <w:rsid w:val="5FC6BB1E"/>
    <w:rsid w:val="5FF720F1"/>
    <w:rsid w:val="5FFB3DBE"/>
    <w:rsid w:val="67FF5C0B"/>
    <w:rsid w:val="6EFC0924"/>
    <w:rsid w:val="6FB74722"/>
    <w:rsid w:val="6FEF8B7E"/>
    <w:rsid w:val="71A6591B"/>
    <w:rsid w:val="737D59BA"/>
    <w:rsid w:val="77C37683"/>
    <w:rsid w:val="79D19834"/>
    <w:rsid w:val="79FF515B"/>
    <w:rsid w:val="7A98273D"/>
    <w:rsid w:val="7E9E1962"/>
    <w:rsid w:val="7E9F11B4"/>
    <w:rsid w:val="7EDE7A78"/>
    <w:rsid w:val="7EFFA4DD"/>
    <w:rsid w:val="7F37EC1E"/>
    <w:rsid w:val="7F7DCD9D"/>
    <w:rsid w:val="7F970A6F"/>
    <w:rsid w:val="7FC1FFF3"/>
    <w:rsid w:val="7FC69637"/>
    <w:rsid w:val="7FDF8620"/>
    <w:rsid w:val="7FE8C8F7"/>
    <w:rsid w:val="7FFB242F"/>
    <w:rsid w:val="7FFDB408"/>
    <w:rsid w:val="7FFE4EEB"/>
    <w:rsid w:val="95FB2B98"/>
    <w:rsid w:val="9A639BC2"/>
    <w:rsid w:val="9FF7D786"/>
    <w:rsid w:val="AB17947C"/>
    <w:rsid w:val="ABBFB23D"/>
    <w:rsid w:val="C3B4DA5A"/>
    <w:rsid w:val="CBFF70E0"/>
    <w:rsid w:val="CFF50B82"/>
    <w:rsid w:val="CFFFAD89"/>
    <w:rsid w:val="D79FC650"/>
    <w:rsid w:val="DFFE359E"/>
    <w:rsid w:val="DFFE4FFD"/>
    <w:rsid w:val="E75F2B00"/>
    <w:rsid w:val="EEABED75"/>
    <w:rsid w:val="F3DB4A51"/>
    <w:rsid w:val="F56FDF51"/>
    <w:rsid w:val="F6B69F17"/>
    <w:rsid w:val="F77F1D61"/>
    <w:rsid w:val="F7FED3A9"/>
    <w:rsid w:val="F8C9DB26"/>
    <w:rsid w:val="F97E8EAE"/>
    <w:rsid w:val="FB36E1A6"/>
    <w:rsid w:val="FB3BE134"/>
    <w:rsid w:val="FCFF4275"/>
    <w:rsid w:val="FD7FEEEA"/>
    <w:rsid w:val="FDFD3534"/>
    <w:rsid w:val="FDFFB577"/>
    <w:rsid w:val="FEAFC140"/>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BodyText1I2"/>
    <w:basedOn w:val="3"/>
    <w:qFormat/>
    <w:uiPriority w:val="0"/>
    <w:pPr>
      <w:widowControl w:val="0"/>
      <w:spacing w:after="120"/>
      <w:ind w:left="420" w:leftChars="200" w:firstLine="420" w:firstLineChars="200"/>
      <w:jc w:val="both"/>
      <w:textAlignment w:val="baseline"/>
    </w:pPr>
    <w:rPr>
      <w:rFonts w:ascii="Calibri" w:hAnsi="Calibri" w:eastAsia="宋体" w:cs="Times New Roman"/>
      <w:kern w:val="2"/>
      <w:sz w:val="21"/>
      <w:szCs w:val="22"/>
      <w:lang w:val="en-US" w:eastAsia="zh-CN" w:bidi="ar-SA"/>
    </w:rPr>
  </w:style>
  <w:style w:type="paragraph" w:customStyle="1" w:styleId="3">
    <w:name w:val="BodyTextIndent"/>
    <w:basedOn w:val="1"/>
    <w:qFormat/>
    <w:uiPriority w:val="0"/>
    <w:pPr>
      <w:spacing w:after="120"/>
      <w:ind w:left="420" w:leftChars="200" w:firstLine="200" w:firstLineChars="200"/>
      <w:textAlignment w:val="baseline"/>
    </w:pPr>
  </w:style>
  <w:style w:type="paragraph" w:styleId="4">
    <w:name w:val="Body Text Indent"/>
    <w:basedOn w:val="1"/>
    <w:next w:val="5"/>
    <w:unhideWhenUsed/>
    <w:qFormat/>
    <w:uiPriority w:val="99"/>
    <w:pPr>
      <w:widowControl/>
      <w:spacing w:after="120"/>
      <w:ind w:left="420" w:leftChars="200"/>
      <w:jc w:val="left"/>
    </w:pPr>
    <w:rPr>
      <w:rFonts w:ascii="宋体" w:hAnsi="宋体" w:eastAsia="宋体" w:cs="宋体"/>
      <w:kern w:val="0"/>
      <w:sz w:val="24"/>
    </w:rPr>
  </w:style>
  <w:style w:type="paragraph" w:styleId="5">
    <w:name w:val="Body Text First Indent 2"/>
    <w:basedOn w:val="4"/>
    <w:next w:val="1"/>
    <w:unhideWhenUsed/>
    <w:qFormat/>
    <w:uiPriority w:val="99"/>
    <w:pPr>
      <w:ind w:firstLine="420" w:firstLineChars="200"/>
    </w:pPr>
  </w:style>
  <w:style w:type="paragraph" w:styleId="6">
    <w:name w:val="Balloon Text"/>
    <w:basedOn w:val="1"/>
    <w:link w:val="17"/>
    <w:semiHidden/>
    <w:unhideWhenUsed/>
    <w:qFormat/>
    <w:uiPriority w:val="99"/>
    <w:rPr>
      <w:sz w:val="18"/>
      <w:szCs w:val="18"/>
    </w:r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footnote text"/>
    <w:basedOn w:val="1"/>
    <w:next w:val="5"/>
    <w:semiHidden/>
    <w:qFormat/>
    <w:uiPriority w:val="0"/>
    <w:pPr>
      <w:snapToGrid w:val="0"/>
      <w:jc w:val="left"/>
    </w:pPr>
    <w:rPr>
      <w:sz w:val="18"/>
      <w:szCs w:val="18"/>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character" w:customStyle="1" w:styleId="13">
    <w:name w:val="页眉 Char"/>
    <w:basedOn w:val="12"/>
    <w:link w:val="8"/>
    <w:qFormat/>
    <w:uiPriority w:val="99"/>
    <w:rPr>
      <w:sz w:val="18"/>
      <w:szCs w:val="18"/>
    </w:rPr>
  </w:style>
  <w:style w:type="character" w:customStyle="1" w:styleId="14">
    <w:name w:val="页脚 Char"/>
    <w:basedOn w:val="12"/>
    <w:link w:val="7"/>
    <w:qFormat/>
    <w:uiPriority w:val="99"/>
    <w:rPr>
      <w:sz w:val="18"/>
      <w:szCs w:val="18"/>
    </w:rPr>
  </w:style>
  <w:style w:type="paragraph" w:customStyle="1" w:styleId="15">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6">
    <w:name w:val="List Paragraph"/>
    <w:basedOn w:val="1"/>
    <w:qFormat/>
    <w:uiPriority w:val="34"/>
    <w:pPr>
      <w:ind w:firstLine="420" w:firstLineChars="200"/>
    </w:pPr>
  </w:style>
  <w:style w:type="character" w:customStyle="1" w:styleId="17">
    <w:name w:val="批注框文本 Char"/>
    <w:basedOn w:val="12"/>
    <w:link w:val="6"/>
    <w:semiHidden/>
    <w:qFormat/>
    <w:uiPriority w:val="99"/>
    <w:rPr>
      <w:sz w:val="18"/>
      <w:szCs w:val="18"/>
    </w:rPr>
  </w:style>
  <w:style w:type="character" w:customStyle="1" w:styleId="18">
    <w:name w:val="font01"/>
    <w:basedOn w:val="12"/>
    <w:qFormat/>
    <w:uiPriority w:val="0"/>
    <w:rPr>
      <w:rFonts w:hint="eastAsia" w:ascii="宋体" w:hAnsi="宋体" w:eastAsia="宋体" w:cs="宋体"/>
      <w:color w:val="000000"/>
      <w:sz w:val="22"/>
      <w:szCs w:val="22"/>
      <w:u w:val="none"/>
    </w:rPr>
  </w:style>
  <w:style w:type="character" w:customStyle="1" w:styleId="19">
    <w:name w:val="font21"/>
    <w:basedOn w:val="12"/>
    <w:qFormat/>
    <w:uiPriority w:val="0"/>
    <w:rPr>
      <w:rFonts w:hint="eastAsia" w:ascii="宋体" w:hAnsi="宋体" w:eastAsia="宋体" w:cs="宋体"/>
      <w:color w:val="000000"/>
      <w:sz w:val="24"/>
      <w:szCs w:val="24"/>
      <w:u w:val="none"/>
    </w:rPr>
  </w:style>
  <w:style w:type="character" w:customStyle="1" w:styleId="20">
    <w:name w:val="font11"/>
    <w:basedOn w:val="12"/>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1.emf"/><Relationship Id="rId8" Type="http://schemas.openxmlformats.org/officeDocument/2006/relationships/oleObject" Target="embeddings/oleObject1.bin"/><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9.emf"/><Relationship Id="rId24" Type="http://schemas.openxmlformats.org/officeDocument/2006/relationships/oleObject" Target="embeddings/oleObject9.bin"/><Relationship Id="rId23" Type="http://schemas.openxmlformats.org/officeDocument/2006/relationships/image" Target="media/image8.emf"/><Relationship Id="rId22" Type="http://schemas.openxmlformats.org/officeDocument/2006/relationships/oleObject" Target="embeddings/oleObject8.bin"/><Relationship Id="rId21" Type="http://schemas.openxmlformats.org/officeDocument/2006/relationships/image" Target="media/image7.emf"/><Relationship Id="rId20" Type="http://schemas.openxmlformats.org/officeDocument/2006/relationships/oleObject" Target="embeddings/oleObject7.bin"/><Relationship Id="rId2" Type="http://schemas.openxmlformats.org/officeDocument/2006/relationships/settings" Target="settings.xml"/><Relationship Id="rId19" Type="http://schemas.openxmlformats.org/officeDocument/2006/relationships/image" Target="media/image6.emf"/><Relationship Id="rId18" Type="http://schemas.openxmlformats.org/officeDocument/2006/relationships/oleObject" Target="embeddings/oleObject6.bin"/><Relationship Id="rId17" Type="http://schemas.openxmlformats.org/officeDocument/2006/relationships/image" Target="media/image5.emf"/><Relationship Id="rId16" Type="http://schemas.openxmlformats.org/officeDocument/2006/relationships/oleObject" Target="embeddings/oleObject5.bin"/><Relationship Id="rId15" Type="http://schemas.openxmlformats.org/officeDocument/2006/relationships/image" Target="media/image4.emf"/><Relationship Id="rId14" Type="http://schemas.openxmlformats.org/officeDocument/2006/relationships/oleObject" Target="embeddings/oleObject4.bin"/><Relationship Id="rId13" Type="http://schemas.openxmlformats.org/officeDocument/2006/relationships/image" Target="media/image3.emf"/><Relationship Id="rId12" Type="http://schemas.openxmlformats.org/officeDocument/2006/relationships/oleObject" Target="embeddings/oleObject3.bin"/><Relationship Id="rId11" Type="http://schemas.openxmlformats.org/officeDocument/2006/relationships/image" Target="media/image2.emf"/><Relationship Id="rId10" Type="http://schemas.openxmlformats.org/officeDocument/2006/relationships/oleObject" Target="embeddings/oleObject2.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30</Pages>
  <Words>7885</Words>
  <Characters>8353</Characters>
  <Lines>69</Lines>
  <Paragraphs>19</Paragraphs>
  <TotalTime>88</TotalTime>
  <ScaleCrop>false</ScaleCrop>
  <LinksUpToDate>false</LinksUpToDate>
  <CharactersWithSpaces>8477</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2025-08-19T02:17:00Z</dcterms:created>
  <dc:creator>李航 null</dc:creator>
  <cp:lastModifiedBy>ymzx2501</cp:lastModifiedBy>
  <cp:lastPrinted>2024-08-09T10:20:00Z</cp:lastPrinted>
  <dcterms:modified xsi:type="dcterms:W3CDTF">2025-11-04T10:49:13Z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0B2F9AD366734DF9878F4C666780BFDE_13</vt:lpwstr>
  </property>
  <property fmtid="{D5CDD505-2E9C-101B-9397-08002B2CF9AE}" pid="4" name="KSOTemplateDocerSaveRecord">
    <vt:lpwstr>eyJoZGlkIjoiYzg3ZTgxN2U5NzkwZjU0MGJlNDk2NTJmY2MyMzQxYzQifQ==</vt:lpwstr>
  </property>
</Properties>
</file>