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965C5">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CE32C6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CE32C6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6642D495">
      <w:pPr>
        <w:pStyle w:val="14"/>
        <w:jc w:val="center"/>
        <w:rPr>
          <w:sz w:val="56"/>
          <w:szCs w:val="56"/>
        </w:rPr>
      </w:pPr>
    </w:p>
    <w:p w14:paraId="6B952BC9">
      <w:pPr>
        <w:pStyle w:val="14"/>
        <w:jc w:val="center"/>
        <w:rPr>
          <w:sz w:val="84"/>
          <w:szCs w:val="84"/>
        </w:rPr>
      </w:pPr>
    </w:p>
    <w:p w14:paraId="7B19CC1A">
      <w:pPr>
        <w:pStyle w:val="14"/>
        <w:jc w:val="center"/>
        <w:rPr>
          <w:sz w:val="84"/>
          <w:szCs w:val="84"/>
        </w:rPr>
      </w:pPr>
    </w:p>
    <w:p w14:paraId="39A7F310">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3</w:t>
      </w:r>
      <w:r>
        <w:rPr>
          <w:rFonts w:hint="eastAsia" w:ascii="方正小标宋_GBK" w:hAnsi="方正小标宋_GBK" w:eastAsia="方正小标宋_GBK" w:cs="方正小标宋_GBK"/>
          <w:sz w:val="72"/>
          <w:szCs w:val="72"/>
        </w:rPr>
        <w:t>年度</w:t>
      </w:r>
    </w:p>
    <w:p w14:paraId="4E31907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沅江市农业农村局</w:t>
      </w:r>
      <w:r>
        <w:rPr>
          <w:rFonts w:hint="eastAsia" w:ascii="方正小标宋_GBK" w:hAnsi="方正小标宋_GBK" w:eastAsia="方正小标宋_GBK" w:cs="方正小标宋_GBK"/>
          <w:sz w:val="72"/>
          <w:szCs w:val="72"/>
        </w:rPr>
        <w:t>部门决算</w:t>
      </w:r>
    </w:p>
    <w:p w14:paraId="0EF58C39">
      <w:pPr>
        <w:pStyle w:val="14"/>
        <w:jc w:val="center"/>
        <w:rPr>
          <w:rFonts w:hint="eastAsia" w:ascii="方正小标宋_GBK" w:hAnsi="方正小标宋_GBK" w:eastAsia="方正小标宋_GBK" w:cs="方正小标宋_GBK"/>
          <w:sz w:val="56"/>
          <w:szCs w:val="56"/>
        </w:rPr>
      </w:pPr>
    </w:p>
    <w:p w14:paraId="0E762D98">
      <w:pPr>
        <w:pStyle w:val="14"/>
        <w:jc w:val="center"/>
        <w:rPr>
          <w:sz w:val="56"/>
          <w:szCs w:val="56"/>
        </w:rPr>
      </w:pPr>
    </w:p>
    <w:p w14:paraId="1271279E">
      <w:pPr>
        <w:pStyle w:val="14"/>
        <w:jc w:val="center"/>
        <w:rPr>
          <w:sz w:val="56"/>
          <w:szCs w:val="56"/>
        </w:rPr>
      </w:pPr>
    </w:p>
    <w:p w14:paraId="2D8FF516">
      <w:pPr>
        <w:pStyle w:val="14"/>
        <w:jc w:val="center"/>
        <w:rPr>
          <w:sz w:val="56"/>
          <w:szCs w:val="56"/>
        </w:rPr>
      </w:pPr>
    </w:p>
    <w:p w14:paraId="71B73EA3">
      <w:pPr>
        <w:pStyle w:val="14"/>
        <w:jc w:val="center"/>
        <w:rPr>
          <w:sz w:val="32"/>
          <w:szCs w:val="32"/>
        </w:rPr>
      </w:pPr>
    </w:p>
    <w:p w14:paraId="60F986DF">
      <w:pPr>
        <w:pStyle w:val="14"/>
        <w:jc w:val="center"/>
        <w:rPr>
          <w:sz w:val="32"/>
          <w:szCs w:val="32"/>
        </w:rPr>
      </w:pPr>
    </w:p>
    <w:p w14:paraId="2FF60616">
      <w:pPr>
        <w:pStyle w:val="14"/>
        <w:jc w:val="center"/>
        <w:rPr>
          <w:sz w:val="32"/>
          <w:szCs w:val="32"/>
        </w:rPr>
      </w:pPr>
    </w:p>
    <w:p w14:paraId="73D1B1FC">
      <w:pPr>
        <w:pStyle w:val="14"/>
        <w:jc w:val="center"/>
        <w:rPr>
          <w:sz w:val="32"/>
          <w:szCs w:val="32"/>
        </w:rPr>
      </w:pPr>
    </w:p>
    <w:p w14:paraId="6CEAF7B2">
      <w:pPr>
        <w:pStyle w:val="14"/>
        <w:jc w:val="center"/>
        <w:rPr>
          <w:sz w:val="32"/>
          <w:szCs w:val="32"/>
        </w:rPr>
      </w:pPr>
    </w:p>
    <w:p w14:paraId="30F62360">
      <w:pPr>
        <w:pStyle w:val="14"/>
        <w:spacing w:line="540" w:lineRule="exact"/>
        <w:jc w:val="center"/>
        <w:rPr>
          <w:sz w:val="56"/>
          <w:szCs w:val="56"/>
        </w:rPr>
      </w:pPr>
    </w:p>
    <w:p w14:paraId="5B3BCF2A">
      <w:pPr>
        <w:pStyle w:val="14"/>
        <w:spacing w:line="500" w:lineRule="exact"/>
        <w:jc w:val="both"/>
        <w:rPr>
          <w:b/>
          <w:sz w:val="36"/>
          <w:szCs w:val="28"/>
        </w:rPr>
      </w:pPr>
    </w:p>
    <w:p w14:paraId="361AC27A">
      <w:pPr>
        <w:pStyle w:val="14"/>
        <w:spacing w:line="500" w:lineRule="exact"/>
        <w:jc w:val="both"/>
        <w:rPr>
          <w:b/>
          <w:sz w:val="36"/>
          <w:szCs w:val="28"/>
        </w:rPr>
      </w:pPr>
    </w:p>
    <w:p w14:paraId="7A2C77DB">
      <w:pPr>
        <w:pStyle w:val="14"/>
        <w:spacing w:line="500" w:lineRule="exact"/>
        <w:jc w:val="center"/>
        <w:rPr>
          <w:b/>
          <w:sz w:val="36"/>
          <w:szCs w:val="28"/>
        </w:rPr>
      </w:pPr>
      <w:r>
        <w:rPr>
          <w:rFonts w:hint="eastAsia"/>
          <w:b/>
          <w:sz w:val="36"/>
          <w:szCs w:val="28"/>
        </w:rPr>
        <w:t>目录</w:t>
      </w:r>
    </w:p>
    <w:p w14:paraId="04494419">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6CDBF3F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70DB79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B050D93">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238E58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4B6251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53D15B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4DAFC7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6A9656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F7D4EA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060CD4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BC42A0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9D6C61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D000BD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166A8E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6CED44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B59815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C32B01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761981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69EC08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71FAC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FE62D2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35877C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01B35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4A098F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33FC4F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26DAEE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165BF7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1B3CAAA">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D7D030A">
      <w:pPr>
        <w:pStyle w:val="14"/>
        <w:spacing w:line="500" w:lineRule="exact"/>
        <w:rPr>
          <w:rFonts w:hint="eastAsia" w:ascii="黑体" w:hAnsi="黑体" w:eastAsia="黑体" w:cs="黑体"/>
          <w:b w:val="0"/>
          <w:bCs/>
          <w:sz w:val="28"/>
          <w:szCs w:val="28"/>
        </w:rPr>
      </w:pPr>
    </w:p>
    <w:p w14:paraId="04D955D7">
      <w:pPr>
        <w:jc w:val="center"/>
        <w:rPr>
          <w:sz w:val="72"/>
          <w:szCs w:val="72"/>
        </w:rPr>
      </w:pPr>
    </w:p>
    <w:p w14:paraId="3F3CE6AD">
      <w:pPr>
        <w:jc w:val="center"/>
        <w:rPr>
          <w:sz w:val="72"/>
          <w:szCs w:val="72"/>
        </w:rPr>
      </w:pPr>
    </w:p>
    <w:p w14:paraId="2C97BE77">
      <w:pPr>
        <w:jc w:val="center"/>
        <w:rPr>
          <w:sz w:val="72"/>
          <w:szCs w:val="72"/>
        </w:rPr>
      </w:pPr>
    </w:p>
    <w:p w14:paraId="2E2566DD">
      <w:pPr>
        <w:jc w:val="center"/>
        <w:rPr>
          <w:sz w:val="72"/>
          <w:szCs w:val="72"/>
        </w:rPr>
      </w:pPr>
    </w:p>
    <w:p w14:paraId="316DCDBD">
      <w:pPr>
        <w:rPr>
          <w:rFonts w:hint="eastAsia" w:ascii="方正小标宋_GBK" w:hAnsi="方正小标宋_GBK" w:eastAsia="方正小标宋_GBK" w:cs="方正小标宋_GBK"/>
          <w:sz w:val="72"/>
          <w:szCs w:val="72"/>
        </w:rPr>
      </w:pPr>
    </w:p>
    <w:p w14:paraId="7B4A216B">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843DFC8">
      <w:pPr>
        <w:pStyle w:val="14"/>
        <w:jc w:val="center"/>
        <w:rPr>
          <w:rFonts w:hint="eastAsia" w:ascii="方正小标宋_GBK" w:hAnsi="方正小标宋_GBK" w:eastAsia="方正小标宋_GBK" w:cs="方正小标宋_GBK"/>
          <w:sz w:val="84"/>
          <w:szCs w:val="84"/>
        </w:rPr>
      </w:pPr>
    </w:p>
    <w:p w14:paraId="39C0FB0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6E71DE7E">
      <w:pPr>
        <w:jc w:val="center"/>
        <w:rPr>
          <w:rFonts w:hint="eastAsia" w:ascii="方正小标宋_GBK" w:hAnsi="方正小标宋_GBK" w:eastAsia="方正小标宋_GBK" w:cs="方正小标宋_GBK"/>
          <w:sz w:val="72"/>
          <w:szCs w:val="72"/>
        </w:rPr>
      </w:pPr>
    </w:p>
    <w:p w14:paraId="67C80B0D">
      <w:pPr>
        <w:jc w:val="center"/>
        <w:rPr>
          <w:rFonts w:hint="eastAsia" w:ascii="方正小标宋_GBK" w:hAnsi="方正小标宋_GBK" w:eastAsia="方正小标宋_GBK" w:cs="方正小标宋_GBK"/>
          <w:sz w:val="72"/>
          <w:szCs w:val="72"/>
        </w:rPr>
      </w:pPr>
    </w:p>
    <w:p w14:paraId="0A43BA2C">
      <w:pPr>
        <w:jc w:val="center"/>
        <w:rPr>
          <w:sz w:val="72"/>
          <w:szCs w:val="72"/>
        </w:rPr>
      </w:pPr>
    </w:p>
    <w:p w14:paraId="59898803">
      <w:pPr>
        <w:jc w:val="center"/>
        <w:rPr>
          <w:sz w:val="72"/>
          <w:szCs w:val="72"/>
        </w:rPr>
      </w:pPr>
    </w:p>
    <w:p w14:paraId="660973E2">
      <w:pPr>
        <w:jc w:val="center"/>
        <w:rPr>
          <w:sz w:val="72"/>
          <w:szCs w:val="72"/>
        </w:rPr>
      </w:pPr>
    </w:p>
    <w:p w14:paraId="6EB9C97E">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910769F">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（一）统筹研究和组织实施“三农”工作的发展战略、中长期规划、重大政策。指导农业综合执法，参与涉农的财税、价格、收储、金融保险、进出口等政策制定。</w:t>
      </w:r>
    </w:p>
    <w:p w14:paraId="16EEF10D">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（二）统筹推动发展农村社会事业、农村公共服务、农村文化、农村基础设施和乡村治理。牵头组织改善农村人居环境。指导农村精神文明和优秀农耕文化建设。指导农业行业安全生产工作。</w:t>
      </w:r>
    </w:p>
    <w:p w14:paraId="43EAE6A2">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三）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14:paraId="30622677">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 xml:space="preserve"> （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14:paraId="33FBBF37">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（五）负责种植业、畜牧业、渔业、农垦、农业机械化等农业各产业的监督管理。指导粮食等农产品生产。组织构建现代农业产业体系、生产体系、经营体系，指导农业标准化生产。负责渔政渔港监督管理。</w:t>
      </w:r>
    </w:p>
    <w:p w14:paraId="784EB212">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六）负责农产品质量安全监督管理。组织开展农产品质量安全监测、追溯、风险评估，报送农产品质量安全信息。贯彻执行农产品质量安全国家标准，参与制定农产品质量安全地方标准并会同有关部门组织实施。指导农业检验检测体系建设。</w:t>
      </w:r>
    </w:p>
    <w:p w14:paraId="3232431B">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32306C93">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 xml:space="preserve"> （八）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14:paraId="1DF25A06">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（九）负责农业防灾减灾、农作物重大病虫害防治工作。指导动植物防疫检疫体系建设，组织、监督市内动植物防疫检疫和疫情扑灭工作。配合有关部门制定血吸虫病防治工作计划并组织实施。</w:t>
      </w:r>
    </w:p>
    <w:p w14:paraId="2C1419EF">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 xml:space="preserve"> （十）负责农业投资管理。编制农业投资项目建设规划，提出农业投资规模和方向，扶持农业农村发展财政项目的建议，按规定权限审批农业投资项目，负责农业投资项目资金安排和监督管理。</w:t>
      </w:r>
    </w:p>
    <w:p w14:paraId="084032CB">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十一）推动农业科技体制改革和农业科技创新体系建设。指导农业产业技术体系和农技推广体系建设，组织开展农业领域的高新技术和应用技术研究、科技成果转化和技木推广。负责农业转基因生物安全监督管理和农业植物新品种保护。</w:t>
      </w:r>
    </w:p>
    <w:p w14:paraId="47E6D823">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（十二）指导农业农村人才工作。拟订农业农村人才队伍建设规划并组织实施，指导农业教育和农业职业技能开发，指导新型职业农民培育、农业科技人才培养和农村实用人才培训工作。</w:t>
      </w:r>
    </w:p>
    <w:p w14:paraId="656937EF">
      <w:pPr>
        <w:widowControl/>
        <w:shd w:val="clear" w:color="auto" w:fill="FFFFFF"/>
        <w:spacing w:before="100" w:after="100" w:line="560" w:lineRule="atLeast"/>
        <w:ind w:firstLine="640" w:firstLineChars="200"/>
        <w:jc w:val="left"/>
        <w:rPr>
          <w:rFonts w:hint="eastAsia"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（十三）组织参与农业对外合作工作。承办有关农业涉外事务，组织开展农业贸易促进和有关对外交流合作，具体执行有关农业援外项目。</w:t>
      </w:r>
    </w:p>
    <w:p w14:paraId="2C5889CD">
      <w:pPr>
        <w:widowControl/>
        <w:shd w:val="clear" w:color="auto" w:fill="FFFFFF"/>
        <w:spacing w:before="100" w:after="100" w:line="560" w:lineRule="atLeast"/>
        <w:ind w:firstLine="640" w:firstLineChars="200"/>
        <w:jc w:val="left"/>
        <w:rPr>
          <w:rFonts w:hint="eastAsia" w:ascii="仿宋_GB2312" w:hAnsi="仿宋" w:eastAsia="仿宋_GB2312"/>
          <w:sz w:val="32"/>
          <w:szCs w:val="32"/>
        </w:rPr>
      </w:pPr>
      <w:r>
        <w:rPr>
          <w:rFonts w:hint="eastAsia" w:ascii="仿宋" w:hAnsi="仿宋" w:eastAsia="仿宋" w:cs="仿宋"/>
          <w:color w:val="000000"/>
          <w:sz w:val="32"/>
          <w:szCs w:val="32"/>
          <w:u w:val="none"/>
          <w:shd w:val="clear" w:color="auto" w:fill="FFFFFF"/>
        </w:rPr>
        <w:t>（十四）完成市委、市政府和市委农村工作领导小组交办的其他任务</w:t>
      </w:r>
      <w:r>
        <w:rPr>
          <w:rFonts w:hint="eastAsia" w:ascii="仿宋" w:hAnsi="仿宋" w:eastAsia="仿宋" w:cs="仿宋"/>
          <w:color w:val="000000"/>
          <w:sz w:val="32"/>
          <w:szCs w:val="32"/>
          <w:u w:val="none"/>
          <w:shd w:val="clear" w:color="auto" w:fill="FFFFFF"/>
          <w:lang w:eastAsia="zh-CN"/>
        </w:rPr>
        <w:t>。</w:t>
      </w:r>
    </w:p>
    <w:p w14:paraId="0A17496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7602C7D">
      <w:pPr>
        <w:snapToGrid w:val="0"/>
        <w:spacing w:line="52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6BFFE223">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根据编委核定，我局内设股室1</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个，全部纳入202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年部门预算编制范围。</w:t>
      </w:r>
    </w:p>
    <w:p w14:paraId="1F280190">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lang w:val="en-US" w:eastAsia="zh-CN" w:bidi="ar-SA"/>
        </w:rPr>
      </w:pPr>
      <w:r>
        <w:rPr>
          <w:rFonts w:ascii="仿宋_GB2312" w:hAnsi="仿宋_GB2312" w:eastAsia="仿宋_GB2312" w:cs="仿宋_GB2312"/>
          <w:b w:val="0"/>
          <w:bCs w:val="0"/>
          <w:color w:val="000000"/>
          <w:sz w:val="32"/>
          <w:szCs w:val="32"/>
        </w:rPr>
        <w:t>内设股室分别是办公室、人事股、政策法规股、财务股、 发展规划股、乡村产业发展股、市场与信息化股、科技教育股、 农业资源保护与利用股、农产品质量安全监管股、种植业管理 股、种业管理股、农田建设与农垦股、畜牧水产管理股。 所属事业单位分别是沅江市农业资源与环境保护工作站、 沅江市种子技术服务和备荒种子储备中心、沅江市园艺示范场、 沅江市土壤肥料工作站、沅江市植保植检站、沅江市农业综合 服务中心、沅江市现代农业产业服务中心、沅江市渔业事务中 心、沅江市农民素质教育服务中心、沅江市农业项目事务中心、 沅江市农产品质量安全检测中心。</w:t>
      </w:r>
    </w:p>
    <w:p w14:paraId="7F1530A7">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bidi="ar-SA"/>
        </w:rPr>
        <w:t>（二）</w:t>
      </w:r>
      <w:r>
        <w:rPr>
          <w:rFonts w:hint="eastAsia" w:ascii="Times New Roman" w:hAnsi="Times New Roman" w:eastAsia="仿宋_GB2312" w:cs="仿宋_GB2312"/>
          <w:bCs/>
          <w:kern w:val="0"/>
          <w:sz w:val="32"/>
          <w:szCs w:val="32"/>
        </w:rPr>
        <w:t>决算单位构成。</w:t>
      </w:r>
    </w:p>
    <w:p w14:paraId="3D969192">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val="en-US" w:eastAsia="zh-CN"/>
        </w:rPr>
        <w:t>沅江市农业农村局</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沅江市农业农村局</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14:paraId="02D36A3E">
      <w:pPr>
        <w:jc w:val="left"/>
        <w:rPr>
          <w:rFonts w:ascii="仿宋_GB2312" w:eastAsia="仿宋_GB2312" w:hAnsiTheme="minorEastAsia"/>
          <w:sz w:val="28"/>
          <w:szCs w:val="32"/>
        </w:rPr>
      </w:pPr>
    </w:p>
    <w:p w14:paraId="4DBB7DEF">
      <w:pPr>
        <w:jc w:val="center"/>
        <w:rPr>
          <w:rFonts w:ascii="黑体" w:hAnsi="黑体" w:eastAsia="黑体"/>
          <w:sz w:val="28"/>
          <w:szCs w:val="28"/>
        </w:rPr>
      </w:pPr>
    </w:p>
    <w:p w14:paraId="5AC319BC">
      <w:pPr>
        <w:jc w:val="center"/>
        <w:rPr>
          <w:rFonts w:ascii="黑体" w:hAnsi="黑体" w:eastAsia="黑体"/>
          <w:sz w:val="28"/>
          <w:szCs w:val="28"/>
        </w:rPr>
      </w:pPr>
    </w:p>
    <w:p w14:paraId="033943C3">
      <w:pPr>
        <w:jc w:val="center"/>
        <w:rPr>
          <w:rFonts w:ascii="黑体" w:hAnsi="黑体" w:eastAsia="黑体"/>
          <w:sz w:val="28"/>
          <w:szCs w:val="28"/>
        </w:rPr>
      </w:pPr>
    </w:p>
    <w:p w14:paraId="309BD1FF">
      <w:pPr>
        <w:jc w:val="center"/>
        <w:rPr>
          <w:rFonts w:ascii="黑体" w:hAnsi="黑体" w:eastAsia="黑体"/>
          <w:sz w:val="28"/>
          <w:szCs w:val="28"/>
        </w:rPr>
      </w:pPr>
    </w:p>
    <w:p w14:paraId="3548AAE1">
      <w:pPr>
        <w:jc w:val="center"/>
        <w:rPr>
          <w:rFonts w:ascii="黑体" w:hAnsi="黑体" w:eastAsia="黑体"/>
          <w:sz w:val="28"/>
          <w:szCs w:val="28"/>
        </w:rPr>
      </w:pPr>
    </w:p>
    <w:p w14:paraId="6C775FD0">
      <w:pPr>
        <w:jc w:val="center"/>
        <w:rPr>
          <w:rFonts w:ascii="黑体" w:hAnsi="黑体" w:eastAsia="黑体"/>
          <w:sz w:val="28"/>
          <w:szCs w:val="28"/>
        </w:rPr>
      </w:pPr>
    </w:p>
    <w:p w14:paraId="3D40240C">
      <w:pPr>
        <w:jc w:val="center"/>
        <w:rPr>
          <w:rFonts w:ascii="黑体" w:hAnsi="黑体" w:eastAsia="黑体"/>
          <w:sz w:val="28"/>
          <w:szCs w:val="28"/>
        </w:rPr>
      </w:pPr>
    </w:p>
    <w:p w14:paraId="614D3B38">
      <w:pPr>
        <w:jc w:val="center"/>
        <w:rPr>
          <w:rFonts w:ascii="黑体" w:hAnsi="黑体" w:eastAsia="黑体"/>
          <w:sz w:val="28"/>
          <w:szCs w:val="28"/>
        </w:rPr>
      </w:pPr>
    </w:p>
    <w:p w14:paraId="3789C756">
      <w:pPr>
        <w:jc w:val="both"/>
        <w:rPr>
          <w:sz w:val="72"/>
          <w:szCs w:val="72"/>
        </w:rPr>
      </w:pPr>
    </w:p>
    <w:p w14:paraId="61684A5F">
      <w:pPr>
        <w:pStyle w:val="14"/>
        <w:jc w:val="both"/>
        <w:rPr>
          <w:rFonts w:hint="eastAsia" w:ascii="方正小标宋_GBK" w:hAnsi="方正小标宋_GBK" w:eastAsia="方正小标宋_GBK" w:cs="方正小标宋_GBK"/>
          <w:sz w:val="84"/>
          <w:szCs w:val="84"/>
        </w:rPr>
      </w:pPr>
    </w:p>
    <w:p w14:paraId="41B5CD2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6C69DA3">
      <w:pPr>
        <w:pStyle w:val="14"/>
        <w:jc w:val="center"/>
        <w:rPr>
          <w:rFonts w:hint="eastAsia" w:ascii="方正小标宋_GBK" w:hAnsi="方正小标宋_GBK" w:eastAsia="方正小标宋_GBK" w:cs="方正小标宋_GBK"/>
          <w:sz w:val="84"/>
          <w:szCs w:val="84"/>
        </w:rPr>
      </w:pPr>
    </w:p>
    <w:p w14:paraId="4918EED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FB338B8">
      <w:pPr>
        <w:pStyle w:val="14"/>
        <w:jc w:val="center"/>
        <w:rPr>
          <w:sz w:val="72"/>
          <w:szCs w:val="72"/>
        </w:rPr>
      </w:pP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lang w:val="en-US" w:eastAsia="zh-CN"/>
        </w:rPr>
        <w:t>详见附件决算批复表</w:t>
      </w:r>
      <w:r>
        <w:rPr>
          <w:rFonts w:hint="eastAsia" w:ascii="方正小标宋_GBK" w:hAnsi="方正小标宋_GBK" w:eastAsia="方正小标宋_GBK" w:cs="方正小标宋_GBK"/>
          <w:sz w:val="32"/>
          <w:szCs w:val="32"/>
          <w:lang w:eastAsia="zh-CN"/>
        </w:rPr>
        <w:t>）</w:t>
      </w:r>
    </w:p>
    <w:p w14:paraId="281EF399">
      <w:pPr>
        <w:widowControl/>
        <w:jc w:val="both"/>
        <w:rPr>
          <w:sz w:val="72"/>
          <w:szCs w:val="72"/>
        </w:rPr>
        <w:sectPr>
          <w:pgSz w:w="11906" w:h="16838"/>
          <w:pgMar w:top="720" w:right="720" w:bottom="720" w:left="720" w:header="851" w:footer="992" w:gutter="0"/>
          <w:cols w:space="425" w:num="1"/>
          <w:docGrid w:type="lines" w:linePitch="312" w:charSpace="0"/>
        </w:sectPr>
      </w:pPr>
    </w:p>
    <w:p w14:paraId="04547663">
      <w:pPr>
        <w:pStyle w:val="14"/>
        <w:jc w:val="both"/>
        <w:rPr>
          <w:rFonts w:hint="eastAsia" w:ascii="方正小标宋_GBK" w:hAnsi="方正小标宋_GBK" w:eastAsia="方正小标宋_GBK" w:cs="方正小标宋_GBK"/>
          <w:sz w:val="72"/>
          <w:szCs w:val="72"/>
        </w:rPr>
      </w:pPr>
    </w:p>
    <w:p w14:paraId="36170DEA">
      <w:pPr>
        <w:pStyle w:val="14"/>
        <w:jc w:val="both"/>
        <w:rPr>
          <w:rFonts w:hint="eastAsia" w:ascii="方正小标宋_GBK" w:hAnsi="方正小标宋_GBK" w:eastAsia="方正小标宋_GBK" w:cs="方正小标宋_GBK"/>
          <w:sz w:val="72"/>
          <w:szCs w:val="72"/>
        </w:rPr>
      </w:pPr>
    </w:p>
    <w:p w14:paraId="048534DE">
      <w:pPr>
        <w:pStyle w:val="14"/>
        <w:jc w:val="both"/>
        <w:rPr>
          <w:rFonts w:hint="eastAsia" w:ascii="方正小标宋_GBK" w:hAnsi="方正小标宋_GBK" w:eastAsia="方正小标宋_GBK" w:cs="方正小标宋_GBK"/>
          <w:sz w:val="72"/>
          <w:szCs w:val="72"/>
        </w:rPr>
      </w:pPr>
    </w:p>
    <w:p w14:paraId="34793A53">
      <w:pPr>
        <w:pStyle w:val="14"/>
        <w:jc w:val="both"/>
        <w:rPr>
          <w:rFonts w:hint="eastAsia" w:ascii="方正小标宋_GBK" w:hAnsi="方正小标宋_GBK" w:eastAsia="方正小标宋_GBK" w:cs="方正小标宋_GBK"/>
          <w:sz w:val="72"/>
          <w:szCs w:val="72"/>
        </w:rPr>
      </w:pPr>
    </w:p>
    <w:p w14:paraId="16AA151F">
      <w:pPr>
        <w:pStyle w:val="14"/>
        <w:jc w:val="both"/>
        <w:rPr>
          <w:rFonts w:hint="eastAsia" w:ascii="方正小标宋_GBK" w:hAnsi="方正小标宋_GBK" w:eastAsia="方正小标宋_GBK" w:cs="方正小标宋_GBK"/>
          <w:sz w:val="72"/>
          <w:szCs w:val="72"/>
        </w:rPr>
      </w:pPr>
    </w:p>
    <w:p w14:paraId="0E6D815A">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7233A64">
      <w:pPr>
        <w:pStyle w:val="14"/>
        <w:jc w:val="center"/>
        <w:rPr>
          <w:rFonts w:hint="eastAsia" w:ascii="方正小标宋_GBK" w:hAnsi="方正小标宋_GBK" w:eastAsia="方正小标宋_GBK" w:cs="方正小标宋_GBK"/>
          <w:sz w:val="70"/>
          <w:szCs w:val="70"/>
        </w:rPr>
      </w:pPr>
    </w:p>
    <w:p w14:paraId="0CA75E08">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D1AC2AC">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9561A1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64B6B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61269.59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14326.46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30.52</w:t>
      </w:r>
      <w:r>
        <w:rPr>
          <w:rFonts w:hint="eastAsia" w:ascii="Times New Roman" w:hAnsi="Times New Roman" w:eastAsia="仿宋_GB2312"/>
          <w:sz w:val="32"/>
          <w:szCs w:val="32"/>
        </w:rPr>
        <w:t>%，主要是因为</w:t>
      </w:r>
      <w:r>
        <w:rPr>
          <w:rFonts w:hint="eastAsia" w:ascii="仿宋" w:hAnsi="Times New Roman" w:eastAsia="仿宋" w:cs="仿宋"/>
          <w:color w:val="auto"/>
          <w:sz w:val="32"/>
          <w:szCs w:val="32"/>
          <w:lang w:val="en-US" w:eastAsia="zh-CN"/>
        </w:rPr>
        <w:t>人员增加，农业项目投入增加，</w:t>
      </w:r>
      <w:r>
        <w:rPr>
          <w:rFonts w:hint="eastAsia" w:ascii="Times New Roman" w:hAnsi="Times New Roman" w:eastAsia="仿宋_GB2312"/>
          <w:sz w:val="32"/>
          <w:szCs w:val="32"/>
          <w:lang w:val="en-US" w:eastAsia="zh-CN"/>
        </w:rPr>
        <w:t>支付了去年结余的农业项目资金。</w:t>
      </w:r>
    </w:p>
    <w:p w14:paraId="0968904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B4E78E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年度收入合计30131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02万元，其中：财政拨款收入26125</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9</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86.71</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%；政府性基金预算财政拨款收入2100.97万元，占</w:t>
      </w:r>
      <w:r>
        <w:rPr>
          <w:rFonts w:hint="eastAsia" w:ascii="Times New Roman" w:hAnsi="Times New Roman" w:eastAsia="仿宋_GB2312"/>
          <w:sz w:val="32"/>
          <w:szCs w:val="32"/>
          <w:lang w:val="en-US" w:eastAsia="zh-CN"/>
        </w:rPr>
        <w:t>6.97</w:t>
      </w:r>
      <w:r>
        <w:rPr>
          <w:rFonts w:hint="eastAsia" w:ascii="Times New Roman" w:hAnsi="Times New Roman" w:eastAsia="仿宋_GB2312"/>
          <w:sz w:val="32"/>
          <w:szCs w:val="32"/>
        </w:rPr>
        <w:t>%；其他收入1904.1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6.32</w:t>
      </w:r>
      <w:r>
        <w:rPr>
          <w:rFonts w:hint="eastAsia" w:ascii="Times New Roman" w:hAnsi="Times New Roman" w:eastAsia="仿宋_GB2312"/>
          <w:sz w:val="32"/>
          <w:szCs w:val="32"/>
        </w:rPr>
        <w:t>%。</w:t>
      </w:r>
    </w:p>
    <w:p w14:paraId="20B8EE4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40DCE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年度支出合计31138.57万元，其中：基本支出2700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47万元，占</w:t>
      </w:r>
      <w:r>
        <w:rPr>
          <w:rFonts w:hint="eastAsia" w:ascii="Times New Roman" w:hAnsi="Times New Roman" w:eastAsia="仿宋_GB2312"/>
          <w:sz w:val="32"/>
          <w:szCs w:val="32"/>
          <w:lang w:val="en-US" w:eastAsia="zh-CN"/>
        </w:rPr>
        <w:t>8.67</w:t>
      </w:r>
      <w:r>
        <w:rPr>
          <w:rFonts w:hint="eastAsia" w:ascii="Times New Roman" w:hAnsi="Times New Roman" w:eastAsia="仿宋_GB2312"/>
          <w:sz w:val="32"/>
          <w:szCs w:val="32"/>
        </w:rPr>
        <w:t>%；项目支出28438</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91.33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6032FF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2A053D1">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56453.83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29657.49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110.68</w:t>
      </w:r>
      <w:r>
        <w:rPr>
          <w:rFonts w:hint="eastAsia" w:ascii="Times New Roman" w:hAnsi="Times New Roman" w:eastAsia="仿宋_GB2312"/>
          <w:sz w:val="32"/>
          <w:szCs w:val="32"/>
        </w:rPr>
        <w:t>%，主要是因为</w:t>
      </w:r>
      <w:r>
        <w:rPr>
          <w:rFonts w:hint="eastAsia" w:ascii="仿宋" w:hAnsi="Times New Roman" w:eastAsia="仿宋" w:cs="仿宋"/>
          <w:color w:val="auto"/>
          <w:sz w:val="32"/>
          <w:szCs w:val="32"/>
          <w:lang w:val="en-US" w:eastAsia="zh-CN"/>
        </w:rPr>
        <w:t>农业项目通过特设专户拨款减少。</w:t>
      </w:r>
    </w:p>
    <w:p w14:paraId="4A1ACD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22BA1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766426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2700.47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8.67</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87.32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3.34</w:t>
      </w:r>
      <w:r>
        <w:rPr>
          <w:rFonts w:hint="eastAsia" w:ascii="Times New Roman" w:hAnsi="Times New Roman" w:eastAsia="仿宋_GB2312"/>
          <w:sz w:val="32"/>
          <w:szCs w:val="32"/>
        </w:rPr>
        <w:t>%，主要是因为</w:t>
      </w:r>
      <w:r>
        <w:rPr>
          <w:rFonts w:hint="eastAsia" w:ascii="仿宋" w:hAnsi="Times New Roman" w:eastAsia="仿宋" w:cs="仿宋"/>
          <w:color w:val="auto"/>
          <w:sz w:val="32"/>
          <w:szCs w:val="32"/>
          <w:lang w:val="en-US" w:eastAsia="zh-CN"/>
        </w:rPr>
        <w:t>人员变动，项目预算增加。</w:t>
      </w:r>
    </w:p>
    <w:p w14:paraId="55314518">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3A7F5A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2700.47</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7.86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0.18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农林水支出2338.19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86.58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科学技术支出40.09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1.48</w:t>
      </w: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val="en-US" w:eastAsia="zh-CN"/>
        </w:rPr>
        <w:t>161.19</w:t>
      </w:r>
      <w:r>
        <w:rPr>
          <w:rFonts w:hint="eastAsia" w:ascii="宋体" w:hAnsi="宋体" w:eastAsia="宋体"/>
          <w:sz w:val="32"/>
          <w:szCs w:val="32"/>
        </w:rPr>
        <w:t>万元，占</w:t>
      </w:r>
      <w:r>
        <w:rPr>
          <w:rFonts w:hint="eastAsia" w:ascii="宋体" w:hAnsi="宋体" w:eastAsia="宋体"/>
          <w:sz w:val="32"/>
          <w:szCs w:val="32"/>
          <w:lang w:val="en-US" w:eastAsia="zh-CN"/>
        </w:rPr>
        <w:t>5.96</w:t>
      </w:r>
      <w:r>
        <w:rPr>
          <w:rFonts w:ascii="宋体" w:hAnsi="宋体" w:eastAsia="宋体"/>
          <w:sz w:val="32"/>
          <w:szCs w:val="32"/>
        </w:rPr>
        <w:t>%</w:t>
      </w:r>
      <w:r>
        <w:rPr>
          <w:rFonts w:hint="eastAsia" w:ascii="宋体" w:hAnsi="宋体" w:eastAsia="宋体"/>
          <w:sz w:val="32"/>
          <w:szCs w:val="32"/>
        </w:rPr>
        <w:t>；</w:t>
      </w:r>
      <w:r>
        <w:rPr>
          <w:rFonts w:hint="eastAsia" w:ascii="宋体" w:hAnsi="宋体" w:eastAsia="宋体"/>
          <w:sz w:val="32"/>
          <w:szCs w:val="32"/>
          <w:lang w:val="en-US" w:eastAsia="zh-CN"/>
        </w:rPr>
        <w:t>一般公共服务支出26.95万元，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宋体" w:hAnsi="宋体" w:eastAsia="宋体"/>
          <w:sz w:val="32"/>
          <w:szCs w:val="32"/>
          <w:lang w:val="en-US" w:eastAsia="zh-CN"/>
        </w:rPr>
        <w:t>社会保障和就业支出37.69万元，占1.40%;粮油物资储备支出73.50，</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2.73</w:t>
      </w:r>
      <w:r>
        <w:rPr>
          <w:rFonts w:hint="eastAsia" w:ascii="Times New Roman" w:hAnsi="Times New Roman" w:eastAsia="仿宋_GB2312"/>
          <w:sz w:val="32"/>
          <w:szCs w:val="32"/>
        </w:rPr>
        <w:t>%;</w:t>
      </w:r>
      <w:r>
        <w:rPr>
          <w:rFonts w:hint="eastAsia" w:ascii="宋体" w:hAnsi="宋体" w:eastAsia="宋体"/>
          <w:sz w:val="32"/>
          <w:szCs w:val="32"/>
          <w:lang w:val="en-US" w:eastAsia="zh-CN"/>
        </w:rPr>
        <w:t>节能环保支出10万元，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0.38</w:t>
      </w:r>
      <w:r>
        <w:rPr>
          <w:rFonts w:hint="eastAsia" w:ascii="Times New Roman" w:hAnsi="Times New Roman" w:eastAsia="仿宋_GB2312"/>
          <w:sz w:val="32"/>
          <w:szCs w:val="32"/>
        </w:rPr>
        <w:t>%;</w:t>
      </w:r>
    </w:p>
    <w:p w14:paraId="66D5673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2D0C69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bookmarkStart w:id="0" w:name="PAY_BGT_AMT"/>
      <w:r>
        <w:rPr>
          <w:rFonts w:hint="eastAsia" w:ascii="仿宋" w:hAnsi="Times New Roman" w:eastAsia="仿宋" w:cs="仿宋"/>
          <w:color w:val="auto"/>
          <w:sz w:val="32"/>
          <w:szCs w:val="32"/>
        </w:rPr>
        <w:t>2170.53</w:t>
      </w:r>
      <w:bookmarkEnd w:id="0"/>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2700.47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124.42</w:t>
      </w:r>
      <w:r>
        <w:rPr>
          <w:rFonts w:hint="eastAsia" w:ascii="Times New Roman" w:hAnsi="Times New Roman" w:eastAsia="仿宋_GB2312"/>
          <w:sz w:val="32"/>
          <w:szCs w:val="32"/>
        </w:rPr>
        <w:t>%，其中：</w:t>
      </w:r>
    </w:p>
    <w:p w14:paraId="5BDCE3E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w:t>
      </w:r>
    </w:p>
    <w:p w14:paraId="61776D8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税款联管工作经费及发改局项目前期工作经费。</w:t>
      </w:r>
    </w:p>
    <w:p w14:paraId="4CED9ED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科学技术支出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其他科学技术支出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其他科学技术支出</w:t>
      </w:r>
      <w:r>
        <w:rPr>
          <w:rFonts w:hint="eastAsia" w:ascii="Times New Roman" w:hAnsi="Times New Roman" w:eastAsia="仿宋_GB2312"/>
          <w:sz w:val="32"/>
          <w:szCs w:val="32"/>
        </w:rPr>
        <w:t>（项）。</w:t>
      </w:r>
    </w:p>
    <w:p w14:paraId="78D6128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40.09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%，决算数大于年初预算数的主要原因是：全市高质量发展推进大会表彰经费</w:t>
      </w:r>
      <w:r>
        <w:rPr>
          <w:rFonts w:hint="eastAsia" w:ascii="Times New Roman" w:hAnsi="Times New Roman" w:eastAsia="仿宋_GB2312"/>
          <w:sz w:val="32"/>
          <w:szCs w:val="32"/>
          <w:lang w:val="en-US" w:eastAsia="zh-CN"/>
        </w:rPr>
        <w:t>及真抓实干工作经费。</w:t>
      </w:r>
    </w:p>
    <w:p w14:paraId="4061382C">
      <w:pPr>
        <w:pStyle w:val="14"/>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3、</w:t>
      </w:r>
      <w:r>
        <w:rPr>
          <w:rFonts w:hint="eastAsia" w:ascii="Times New Roman" w:hAnsi="Times New Roman" w:eastAsia="仿宋_GB2312"/>
          <w:sz w:val="32"/>
          <w:szCs w:val="32"/>
          <w:lang w:val="en-US" w:eastAsia="zh-CN"/>
        </w:rPr>
        <w:t>社会保障和就业支出。</w:t>
      </w:r>
    </w:p>
    <w:p w14:paraId="2ECACF26">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37.69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%，决算数大于年初预算数的主要原因是：八一建军优抚对象慰问</w:t>
      </w:r>
      <w:r>
        <w:rPr>
          <w:rFonts w:hint="eastAsia" w:ascii="Times New Roman" w:hAnsi="Times New Roman" w:eastAsia="仿宋_GB2312"/>
          <w:sz w:val="32"/>
          <w:szCs w:val="32"/>
          <w:lang w:val="en-US" w:eastAsia="zh-CN"/>
        </w:rPr>
        <w:t>及死亡抚恤金。</w:t>
      </w:r>
    </w:p>
    <w:p w14:paraId="1015080F">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计划生育事务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计划生育服务</w:t>
      </w:r>
      <w:r>
        <w:rPr>
          <w:rFonts w:hint="eastAsia" w:ascii="Times New Roman" w:hAnsi="Times New Roman" w:eastAsia="仿宋_GB2312"/>
          <w:sz w:val="32"/>
          <w:szCs w:val="32"/>
        </w:rPr>
        <w:t>（项）。</w:t>
      </w:r>
    </w:p>
    <w:p w14:paraId="75295E7F">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%，决算数大于年初预算数的主要原因是：城镇独生子女父母奖励</w:t>
      </w:r>
      <w:r>
        <w:rPr>
          <w:rFonts w:hint="eastAsia" w:ascii="Times New Roman" w:hAnsi="Times New Roman" w:eastAsia="仿宋_GB2312"/>
          <w:sz w:val="32"/>
          <w:szCs w:val="32"/>
          <w:lang w:val="en-US" w:eastAsia="zh-CN"/>
        </w:rPr>
        <w:t>。</w:t>
      </w:r>
    </w:p>
    <w:p w14:paraId="281C504C">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节能环保支出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生态自然保护</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其他自然生态保护支出</w:t>
      </w:r>
      <w:r>
        <w:rPr>
          <w:rFonts w:hint="eastAsia" w:ascii="Times New Roman" w:hAnsi="Times New Roman" w:eastAsia="仿宋_GB2312"/>
          <w:sz w:val="32"/>
          <w:szCs w:val="32"/>
        </w:rPr>
        <w:t>（项）。</w:t>
      </w:r>
    </w:p>
    <w:p w14:paraId="67820956">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%，决算数大于年初预算数的主要原因是：专项补助经费</w:t>
      </w:r>
      <w:r>
        <w:rPr>
          <w:rFonts w:hint="eastAsia" w:ascii="Times New Roman" w:hAnsi="Times New Roman" w:eastAsia="仿宋_GB2312"/>
          <w:sz w:val="32"/>
          <w:szCs w:val="32"/>
          <w:lang w:val="en-US" w:eastAsia="zh-CN"/>
        </w:rPr>
        <w:t>。</w:t>
      </w:r>
    </w:p>
    <w:p w14:paraId="2F407D5F">
      <w:pPr>
        <w:pStyle w:val="14"/>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农林水支出。</w:t>
      </w:r>
    </w:p>
    <w:p w14:paraId="583702F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2009.35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2338.19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116.36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支付了去年结余的农业项目资金</w:t>
      </w:r>
      <w:r>
        <w:rPr>
          <w:rFonts w:hint="eastAsia" w:ascii="Times New Roman" w:hAnsi="Times New Roman" w:eastAsia="仿宋_GB2312"/>
          <w:sz w:val="32"/>
          <w:szCs w:val="32"/>
        </w:rPr>
        <w:t>。</w:t>
      </w:r>
    </w:p>
    <w:p w14:paraId="5ACDBD7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住房保障支出（类）住房改革支出（款）住房公积金（项）。</w:t>
      </w:r>
    </w:p>
    <w:p w14:paraId="0DD326A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年初预算为1</w:t>
      </w:r>
      <w:r>
        <w:rPr>
          <w:rFonts w:hint="eastAsia" w:ascii="Times New Roman" w:hAnsi="Times New Roman" w:eastAsia="仿宋_GB2312"/>
          <w:sz w:val="32"/>
          <w:szCs w:val="32"/>
          <w:lang w:val="en-US" w:eastAsia="zh-CN"/>
        </w:rPr>
        <w:t>61.19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161.19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7E77925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04DEB1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2536.34</w:t>
      </w:r>
      <w:r>
        <w:rPr>
          <w:rFonts w:hint="eastAsia" w:ascii="Times New Roman" w:hAnsi="Times New Roman" w:eastAsia="仿宋_GB2312"/>
          <w:sz w:val="32"/>
          <w:szCs w:val="32"/>
        </w:rPr>
        <w:t>万元，其中：人员经费</w:t>
      </w:r>
      <w:r>
        <w:rPr>
          <w:rFonts w:hint="eastAsia" w:ascii="Times New Roman" w:hAnsi="Times New Roman" w:eastAsia="仿宋_GB2312"/>
          <w:sz w:val="32"/>
          <w:szCs w:val="32"/>
          <w:lang w:val="en-US" w:eastAsia="zh-CN"/>
        </w:rPr>
        <w:t>2110.86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83.23</w:t>
      </w:r>
      <w:r>
        <w:rPr>
          <w:rFonts w:hint="eastAsia" w:ascii="Times New Roman" w:hAnsi="Times New Roman" w:eastAsia="仿宋_GB2312"/>
          <w:sz w:val="32"/>
          <w:szCs w:val="32"/>
        </w:rPr>
        <w:t>%,主要包括基本工资、津贴补贴、奖金、住房公积金、对个人和家庭的补助等；公用经费</w:t>
      </w:r>
      <w:r>
        <w:rPr>
          <w:rFonts w:hint="eastAsia" w:ascii="Times New Roman" w:hAnsi="Times New Roman" w:eastAsia="仿宋_GB2312"/>
          <w:sz w:val="32"/>
          <w:szCs w:val="32"/>
          <w:lang w:val="en-US" w:eastAsia="zh-CN"/>
        </w:rPr>
        <w:t>425.47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16.77</w:t>
      </w:r>
      <w:r>
        <w:rPr>
          <w:rFonts w:hint="eastAsia" w:ascii="Times New Roman" w:hAnsi="Times New Roman" w:eastAsia="仿宋_GB2312"/>
          <w:sz w:val="32"/>
          <w:szCs w:val="32"/>
        </w:rPr>
        <w:t>%，主要包括办公费、水费、电费、物业管理费、差旅费、维修（护）费、会议费、办公购置费、培训费等。</w:t>
      </w:r>
    </w:p>
    <w:p w14:paraId="7284F9E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7731F8A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EA86BAA">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19.97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99.85</w:t>
      </w:r>
      <w:r>
        <w:rPr>
          <w:rFonts w:hint="eastAsia" w:ascii="Times New Roman" w:hAnsi="Times New Roman" w:eastAsia="仿宋_GB2312"/>
          <w:sz w:val="32"/>
          <w:szCs w:val="32"/>
        </w:rPr>
        <w:t>%，决算数小于预算数的主要原因是</w:t>
      </w:r>
      <w:r>
        <w:rPr>
          <w:rFonts w:hint="eastAsia" w:ascii="仿宋" w:hAnsi="Times New Roman" w:eastAsia="仿宋" w:cs="仿宋"/>
          <w:color w:val="000000"/>
          <w:sz w:val="32"/>
          <w:szCs w:val="32"/>
          <w:u w:val="none"/>
        </w:rPr>
        <w:t>认真贯彻落实中央“八项规定”精神和厉行节约要求，从严控制“三公”经费开支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w:t>
      </w:r>
      <w:r>
        <w:rPr>
          <w:rFonts w:hint="eastAsia" w:ascii="Times New Roman" w:hAnsi="Times New Roman" w:eastAsia="仿宋_GB2312"/>
          <w:sz w:val="32"/>
          <w:szCs w:val="32"/>
          <w:lang w:val="en-US" w:eastAsia="zh-CN"/>
        </w:rPr>
        <w:t>比</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0.27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%,增长的主要原因是</w:t>
      </w:r>
      <w:r>
        <w:rPr>
          <w:rFonts w:hint="eastAsia" w:ascii="仿宋" w:hAnsi="Times New Roman" w:eastAsia="仿宋" w:cs="仿宋"/>
          <w:color w:val="000000"/>
          <w:sz w:val="32"/>
          <w:szCs w:val="32"/>
          <w:u w:val="none"/>
        </w:rPr>
        <w:t>从严控制“三公”经费开支</w:t>
      </w:r>
      <w:r>
        <w:rPr>
          <w:rFonts w:hint="eastAsia" w:ascii="仿宋" w:hAnsi="Times New Roman" w:eastAsia="仿宋" w:cs="仿宋"/>
          <w:color w:val="000000"/>
          <w:sz w:val="32"/>
          <w:szCs w:val="32"/>
          <w:u w:val="none"/>
          <w:lang w:eastAsia="zh-CN"/>
        </w:rPr>
        <w:t>，</w:t>
      </w:r>
      <w:r>
        <w:rPr>
          <w:rFonts w:hint="eastAsia" w:ascii="仿宋" w:hAnsi="Times New Roman" w:eastAsia="仿宋" w:cs="仿宋"/>
          <w:color w:val="000000"/>
          <w:sz w:val="32"/>
          <w:szCs w:val="32"/>
          <w:u w:val="none"/>
          <w:lang w:val="en-US" w:eastAsia="zh-CN"/>
        </w:rPr>
        <w:t>厉行节约</w:t>
      </w:r>
      <w:r>
        <w:rPr>
          <w:rFonts w:hint="eastAsia" w:ascii="Times New Roman" w:hAnsi="Times New Roman" w:eastAsia="仿宋_GB2312"/>
          <w:sz w:val="32"/>
          <w:szCs w:val="32"/>
        </w:rPr>
        <w:t>。其中：</w:t>
      </w:r>
    </w:p>
    <w:p w14:paraId="74B153F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123948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19.97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99.85</w:t>
      </w:r>
      <w:r>
        <w:rPr>
          <w:rFonts w:hint="eastAsia" w:ascii="Times New Roman" w:hAnsi="Times New Roman" w:eastAsia="仿宋_GB2312"/>
          <w:sz w:val="32"/>
          <w:szCs w:val="32"/>
        </w:rPr>
        <w:t>%，决算数小于预算数的主要原因是</w:t>
      </w:r>
      <w:r>
        <w:rPr>
          <w:rFonts w:hint="eastAsia" w:ascii="仿宋" w:hAnsi="Times New Roman" w:eastAsia="仿宋" w:cs="仿宋"/>
          <w:color w:val="000000"/>
          <w:sz w:val="32"/>
          <w:szCs w:val="32"/>
          <w:u w:val="none"/>
        </w:rPr>
        <w:t>认真贯彻落实中央“八项规定”精神和厉行节约要求，从严控制“三公”经费开支</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0.27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2023年公务接待费预算为20万元，接待任务比上年增加，</w:t>
      </w:r>
      <w:r>
        <w:rPr>
          <w:rFonts w:hint="eastAsia" w:ascii="Times New Roman" w:hAnsi="Times New Roman" w:eastAsia="仿宋_GB2312"/>
          <w:sz w:val="32"/>
          <w:szCs w:val="32"/>
        </w:rPr>
        <w:t>认真贯彻落实中央“八项规定”精神和厉行节约要求，从严控制“三公”经费开支</w:t>
      </w:r>
      <w:r>
        <w:rPr>
          <w:rFonts w:hint="eastAsia" w:ascii="Times New Roman" w:hAnsi="Times New Roman" w:eastAsia="仿宋_GB2312"/>
          <w:sz w:val="32"/>
          <w:szCs w:val="32"/>
          <w:lang w:eastAsia="zh-CN"/>
        </w:rPr>
        <w:t>。</w:t>
      </w:r>
    </w:p>
    <w:p w14:paraId="5CB09DF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w:t>
      </w:r>
    </w:p>
    <w:p w14:paraId="04B3601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7DBCCC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67CD48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67F356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19.97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99.85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366CAF8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因公出国（境）费支出决算为0万元。</w:t>
      </w:r>
    </w:p>
    <w:p w14:paraId="43007B9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19.97</w:t>
      </w:r>
      <w:r>
        <w:rPr>
          <w:rFonts w:hint="eastAsia" w:ascii="Times New Roman" w:hAnsi="Times New Roman" w:eastAsia="仿宋_GB2312"/>
          <w:sz w:val="32"/>
          <w:szCs w:val="32"/>
        </w:rPr>
        <w:t>万元，全年共接待来访团组来宾约</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00人次，主要是省级及各地州市到我市调研、交流、指导；省级及科研院所、社会团体调研。</w:t>
      </w:r>
    </w:p>
    <w:p w14:paraId="05F0FCF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3、公务用车购置费及运行维护费支出决算为0万元</w:t>
      </w:r>
      <w:r>
        <w:rPr>
          <w:rFonts w:hint="eastAsia" w:ascii="Times New Roman" w:hAnsi="Times New Roman" w:eastAsia="仿宋_GB2312"/>
          <w:sz w:val="32"/>
          <w:szCs w:val="32"/>
          <w:lang w:eastAsia="zh-CN"/>
        </w:rPr>
        <w:t>。</w:t>
      </w:r>
    </w:p>
    <w:p w14:paraId="265408E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F8684CD">
      <w:pPr>
        <w:pStyle w:val="14"/>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2100.97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2100.97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2095.97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楷体" w:hAnsi="楷体" w:eastAsia="楷体" w:cs="楷体"/>
          <w:b/>
          <w:bCs/>
          <w:i/>
          <w:color w:val="auto"/>
          <w:kern w:val="0"/>
          <w:sz w:val="32"/>
          <w:szCs w:val="32"/>
          <w:lang w:val="en-US" w:eastAsia="zh-CN" w:bidi="ar-SA"/>
        </w:rPr>
        <w:t>（无政府性基金收支也需要说明本单位无政府性基金收支）</w:t>
      </w:r>
    </w:p>
    <w:p w14:paraId="6A4209D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rPr>
        <w:t>其他支出（类）其他政府性基金及对应专项债务收入安排的支出（款）  其他政府性基金安排的支出（项）</w:t>
      </w:r>
      <w:r>
        <w:rPr>
          <w:rFonts w:hint="eastAsia" w:ascii="Times New Roman" w:hAnsi="Times New Roman" w:eastAsia="仿宋_GB2312"/>
          <w:sz w:val="32"/>
          <w:szCs w:val="32"/>
        </w:rPr>
        <w:t>。</w:t>
      </w:r>
    </w:p>
    <w:p w14:paraId="650DC99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rPr>
        <w:t>巴南湖采区部门监管工作经费</w:t>
      </w:r>
      <w:r>
        <w:rPr>
          <w:rFonts w:hint="eastAsia" w:ascii="Times New Roman" w:hAnsi="Times New Roman" w:eastAsia="仿宋_GB2312"/>
          <w:sz w:val="32"/>
          <w:szCs w:val="32"/>
          <w:lang w:eastAsia="zh-CN"/>
        </w:rPr>
        <w:t>。</w:t>
      </w:r>
    </w:p>
    <w:p w14:paraId="37548E6B">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w:t>
      </w:r>
      <w:r>
        <w:rPr>
          <w:rFonts w:hint="eastAsia" w:ascii="Times New Roman" w:hAnsi="Times New Roman" w:eastAsia="仿宋_GB2312"/>
          <w:sz w:val="32"/>
          <w:szCs w:val="32"/>
        </w:rPr>
        <w:t>城乡社区支出（类）国有土地使用权出让收入安排的支出（款）征地和拆迁补偿支出（项）。</w:t>
      </w:r>
    </w:p>
    <w:p w14:paraId="48F16B88">
      <w:pPr>
        <w:pStyle w:val="14"/>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%，决算数大于（小于）年初预算数的主要原因是：种子贮备中心棚户区改造项目征拆安置第四批</w:t>
      </w:r>
      <w:r>
        <w:rPr>
          <w:rFonts w:hint="eastAsia" w:ascii="Times New Roman" w:hAnsi="Times New Roman" w:eastAsia="仿宋_GB2312"/>
          <w:sz w:val="32"/>
          <w:szCs w:val="32"/>
          <w:lang w:val="en-US" w:eastAsia="zh-CN"/>
        </w:rPr>
        <w:t>安置资金</w:t>
      </w:r>
      <w:r>
        <w:rPr>
          <w:rFonts w:hint="eastAsia" w:ascii="Times New Roman" w:hAnsi="Times New Roman" w:eastAsia="仿宋_GB2312"/>
          <w:sz w:val="32"/>
          <w:szCs w:val="32"/>
          <w:lang w:eastAsia="zh-CN"/>
        </w:rPr>
        <w:t>。</w:t>
      </w:r>
    </w:p>
    <w:p w14:paraId="7735C206">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城乡社区支出（类）国有土地使用权出让收入安排的支出（款）农村基础设施建设支出（项）。</w:t>
      </w:r>
    </w:p>
    <w:p w14:paraId="01356EC3">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1895.97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%，决算数大于（小于）年初预算数的主要原因是：种子贮备中心棚户区改造项目征拆安置第</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批</w:t>
      </w:r>
      <w:r>
        <w:rPr>
          <w:rFonts w:hint="eastAsia" w:ascii="Times New Roman" w:hAnsi="Times New Roman" w:eastAsia="仿宋_GB2312"/>
          <w:sz w:val="32"/>
          <w:szCs w:val="32"/>
          <w:lang w:val="en-US" w:eastAsia="zh-CN"/>
        </w:rPr>
        <w:t>安置资金及</w:t>
      </w:r>
      <w:r>
        <w:rPr>
          <w:rFonts w:hint="eastAsia" w:ascii="Times New Roman" w:hAnsi="Times New Roman" w:eastAsia="仿宋_GB2312"/>
          <w:sz w:val="32"/>
          <w:szCs w:val="32"/>
        </w:rPr>
        <w:t>农村人居环境作业服务费</w:t>
      </w:r>
      <w:r>
        <w:rPr>
          <w:rFonts w:hint="eastAsia" w:ascii="Times New Roman" w:hAnsi="Times New Roman" w:eastAsia="仿宋_GB2312"/>
          <w:sz w:val="32"/>
          <w:szCs w:val="32"/>
          <w:lang w:eastAsia="zh-CN"/>
        </w:rPr>
        <w:t>。</w:t>
      </w:r>
    </w:p>
    <w:p w14:paraId="302490C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E96ACF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425.47</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（与部门决算中行政单位和参照公务员法管理事业单位财政拨款基本支出中公用经费之和一致）</w:t>
      </w:r>
      <w:r>
        <w:rPr>
          <w:rFonts w:hint="eastAsia" w:ascii="Times New Roman" w:hAnsi="Times New Roman" w:eastAsia="仿宋_GB2312"/>
          <w:sz w:val="32"/>
          <w:szCs w:val="32"/>
        </w:rPr>
        <w:t>，比年初预算数（或者上年决算数）增加</w:t>
      </w:r>
      <w:r>
        <w:rPr>
          <w:rFonts w:hint="eastAsia" w:ascii="Times New Roman" w:hAnsi="Times New Roman" w:eastAsia="仿宋_GB2312"/>
          <w:sz w:val="32"/>
          <w:szCs w:val="32"/>
          <w:lang w:val="en-US" w:eastAsia="zh-CN"/>
        </w:rPr>
        <w:t>65.5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人员变动，公用支出增加。</w:t>
      </w:r>
    </w:p>
    <w:p w14:paraId="3D9F4A1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205C1E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10.45</w:t>
      </w:r>
      <w:r>
        <w:rPr>
          <w:rFonts w:hint="eastAsia" w:ascii="Times New Roman" w:hAnsi="Times New Roman" w:eastAsia="仿宋_GB2312"/>
          <w:sz w:val="32"/>
          <w:szCs w:val="32"/>
        </w:rPr>
        <w:t>万元，用于召开</w:t>
      </w:r>
      <w:r>
        <w:rPr>
          <w:rFonts w:hint="eastAsia" w:ascii="Times New Roman" w:hAnsi="Times New Roman" w:eastAsia="仿宋_GB2312" w:cs="黑体"/>
          <w:color w:val="000000"/>
          <w:kern w:val="0"/>
          <w:sz w:val="32"/>
          <w:szCs w:val="32"/>
          <w:lang w:val="en-US" w:eastAsia="zh-CN" w:bidi="ar-SA"/>
        </w:rPr>
        <w:t>农业生产工作等</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人，内容</w:t>
      </w:r>
      <w:r>
        <w:rPr>
          <w:rFonts w:hint="eastAsia" w:ascii="Times New Roman" w:hAnsi="Times New Roman" w:eastAsia="仿宋_GB2312"/>
          <w:sz w:val="32"/>
          <w:szCs w:val="32"/>
          <w:lang w:val="en-US" w:eastAsia="zh-CN"/>
        </w:rPr>
        <w:t>主要包含</w:t>
      </w:r>
      <w:r>
        <w:rPr>
          <w:rFonts w:hint="eastAsia" w:ascii="Times New Roman" w:hAnsi="Times New Roman" w:eastAsia="仿宋_GB2312" w:cs="黑体"/>
          <w:color w:val="000000"/>
          <w:kern w:val="0"/>
          <w:sz w:val="32"/>
          <w:szCs w:val="32"/>
          <w:lang w:val="en-US" w:eastAsia="zh-CN" w:bidi="ar-SA"/>
        </w:rPr>
        <w:t>农村社会事业、农村公共服务、农村文化、农村基础设施和乡村治理等内容</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0.27</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农民培育</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高素质农民培育</w:t>
      </w:r>
      <w:r>
        <w:rPr>
          <w:rFonts w:hint="eastAsia" w:ascii="Times New Roman" w:hAnsi="Times New Roman" w:eastAsia="仿宋_GB2312"/>
          <w:sz w:val="32"/>
          <w:szCs w:val="32"/>
        </w:rPr>
        <w:t>；</w:t>
      </w:r>
    </w:p>
    <w:p w14:paraId="681EA86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483354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年度政府采购支出总额9648</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28万元，其中：政府采购货物支出636</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24万元、政府采购工程支出103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61万元、政府采购服务支出8908</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万元。授予中小企业合同金额9648</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28万元，占政府采购支出总额的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%，其中：授予小微企业合同金额9648</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28万元，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3EB21D9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p>
    <w:p w14:paraId="45DB6B2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E4B8EF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辆，其他用车主要是；单位价值100万元以上设备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BD481DA">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C2502E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A419BD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1.2023专项资金支出</w:t>
      </w:r>
      <w:r>
        <w:rPr>
          <w:rFonts w:hint="eastAsia" w:ascii="Times New Roman" w:hAnsi="Times New Roman" w:eastAsia="仿宋_GB2312"/>
          <w:sz w:val="32"/>
          <w:szCs w:val="32"/>
        </w:rPr>
        <w:t>28438</w:t>
      </w:r>
      <w:r>
        <w:rPr>
          <w:rFonts w:hint="eastAsia" w:ascii="Times New Roman" w:hAnsi="Times New Roman" w:eastAsia="仿宋_GB2312"/>
          <w:sz w:val="32"/>
          <w:szCs w:val="32"/>
          <w:lang w:val="en-US" w:eastAsia="zh-CN"/>
        </w:rPr>
        <w:t>.10</w:t>
      </w:r>
      <w:r>
        <w:rPr>
          <w:rFonts w:hint="eastAsia" w:ascii="Times New Roman" w:hAnsi="Times New Roman" w:eastAsia="仿宋_GB2312" w:cs="黑体"/>
          <w:color w:val="000000"/>
          <w:kern w:val="0"/>
          <w:sz w:val="32"/>
          <w:szCs w:val="32"/>
          <w:lang w:val="en-US" w:eastAsia="zh-CN" w:bidi="ar-SA"/>
        </w:rPr>
        <w:t>万元，预算106万元，实际到位</w:t>
      </w:r>
      <w:r>
        <w:rPr>
          <w:rFonts w:hint="eastAsia" w:ascii="Times New Roman" w:hAnsi="Times New Roman" w:eastAsia="仿宋_GB2312"/>
          <w:sz w:val="32"/>
          <w:szCs w:val="32"/>
        </w:rPr>
        <w:t>28438</w:t>
      </w:r>
      <w:r>
        <w:rPr>
          <w:rFonts w:hint="eastAsia" w:ascii="Times New Roman" w:hAnsi="Times New Roman" w:eastAsia="仿宋_GB2312"/>
          <w:sz w:val="32"/>
          <w:szCs w:val="32"/>
          <w:lang w:val="en-US" w:eastAsia="zh-CN"/>
        </w:rPr>
        <w:t>.10</w:t>
      </w:r>
      <w:r>
        <w:rPr>
          <w:rFonts w:hint="eastAsia" w:ascii="Times New Roman" w:hAnsi="Times New Roman" w:eastAsia="仿宋_GB2312" w:cs="黑体"/>
          <w:color w:val="000000"/>
          <w:kern w:val="0"/>
          <w:sz w:val="32"/>
          <w:szCs w:val="32"/>
          <w:lang w:val="en-US" w:eastAsia="zh-CN" w:bidi="ar-SA"/>
        </w:rPr>
        <w:t>万元，完成率100%。总体评价：项目监管到位，完成的较高，追加的项目也得到了有效的保障，各项收益明显，群众反响较好，社会生态效益显著。</w:t>
      </w:r>
    </w:p>
    <w:p w14:paraId="34DD0DD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sz w:val="32"/>
          <w:szCs w:val="32"/>
          <w:lang w:eastAsia="zh-CN"/>
        </w:rPr>
      </w:pPr>
      <w:r>
        <w:rPr>
          <w:rFonts w:hint="eastAsia" w:ascii="Times New Roman" w:hAnsi="Times New Roman" w:eastAsia="仿宋_GB2312" w:cs="黑体"/>
          <w:color w:val="000000"/>
          <w:kern w:val="0"/>
          <w:sz w:val="32"/>
          <w:szCs w:val="32"/>
          <w:lang w:val="en-US" w:eastAsia="zh-CN" w:bidi="ar-SA"/>
        </w:rPr>
        <w:t>2. 我单位严格按照年初预算进行部门整体支出，真对照评估指标，按照年度工作计划扎实推进2023年度财政支出绩效自评工作。总的来说，2023年我局全体干部职工积极履职、扎实工作，较好完成了全年工作目标。</w:t>
      </w:r>
    </w:p>
    <w:p w14:paraId="720645F9">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258450B">
      <w:pPr>
        <w:keepNext w:val="0"/>
        <w:keepLines w:val="0"/>
        <w:widowControl/>
        <w:suppressLineNumbers w:val="0"/>
        <w:ind w:firstLine="640" w:firstLineChars="200"/>
        <w:jc w:val="left"/>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本部门所有支出实行绩效目标管理。纳入 2023 年部门整体支出绩效目标的金额为 2170.53 万 元，其中，基本支出 2064.53 万元，项目支出 106.00 万元。</w:t>
      </w:r>
    </w:p>
    <w:p w14:paraId="02663A89">
      <w:pPr>
        <w:keepNext w:val="0"/>
        <w:keepLines w:val="0"/>
        <w:widowControl/>
        <w:suppressLineNumbers w:val="0"/>
        <w:ind w:firstLine="640" w:firstLineChars="200"/>
        <w:jc w:val="left"/>
        <w:rPr>
          <w:rFonts w:hint="eastAsia" w:ascii="仿宋_GB2312" w:eastAsia="仿宋_GB2312"/>
          <w:sz w:val="32"/>
          <w:szCs w:val="32"/>
        </w:rPr>
      </w:pPr>
      <w:r>
        <w:rPr>
          <w:rFonts w:hint="eastAsia" w:ascii="仿宋" w:hAnsi="仿宋" w:eastAsia="仿宋" w:cs="仿宋"/>
          <w:sz w:val="32"/>
          <w:szCs w:val="32"/>
        </w:rPr>
        <w:t>在专项资金使用上，我们严格按照财政预算内容和有关要求，将资金用在农博会参展、</w:t>
      </w:r>
      <w:r>
        <w:rPr>
          <w:rFonts w:hint="eastAsia" w:ascii="仿宋" w:hAnsi="仿宋" w:eastAsia="仿宋" w:cs="宋体"/>
          <w:color w:val="000000"/>
          <w:kern w:val="0"/>
          <w:sz w:val="32"/>
          <w:szCs w:val="32"/>
        </w:rPr>
        <w:t>农村农居环境整治工作（主要为农村卫生与农村改厕工作）、</w:t>
      </w:r>
      <w:r>
        <w:rPr>
          <w:rFonts w:hint="eastAsia" w:ascii="仿宋" w:hAnsi="仿宋" w:eastAsia="仿宋" w:cs="宋体"/>
          <w:color w:val="000000"/>
          <w:kern w:val="0"/>
          <w:sz w:val="32"/>
          <w:szCs w:val="32"/>
          <w:lang w:val="en-US" w:eastAsia="zh-CN"/>
        </w:rPr>
        <w:t>综合经济管理工作（</w:t>
      </w:r>
      <w:r>
        <w:rPr>
          <w:rFonts w:hint="eastAsia" w:ascii="仿宋" w:hAnsi="仿宋" w:eastAsia="仿宋" w:cs="宋体"/>
          <w:color w:val="000000"/>
          <w:kern w:val="0"/>
          <w:sz w:val="32"/>
          <w:szCs w:val="32"/>
        </w:rPr>
        <w:t>立项争资招商引资专项</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、粮食生产（提供早稻晚稻农业生产的技术宣传以及服务）、种子贮备项目（用于备荒种子储备五万斤）、</w:t>
      </w:r>
      <w:r>
        <w:rPr>
          <w:rFonts w:hint="eastAsia" w:eastAsia="仿宋_GB2312"/>
          <w:sz w:val="32"/>
          <w:szCs w:val="32"/>
        </w:rPr>
        <w:t>农产品质量安全检测（主要为所有超市以及农贸市场蔬菜农药残留检测和对水产品进行安全检测）、</w:t>
      </w:r>
      <w:r>
        <w:rPr>
          <w:rFonts w:hint="eastAsia" w:ascii="仿宋" w:hAnsi="仿宋" w:eastAsia="仿宋" w:cs="仿宋"/>
          <w:sz w:val="32"/>
          <w:szCs w:val="32"/>
        </w:rPr>
        <w:t>农药监管（打击所有农资市场假劣伪劣农药产品）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统筹办工作（主要用于统筹办日常工作）</w:t>
      </w:r>
      <w:r>
        <w:rPr>
          <w:rFonts w:hint="eastAsia" w:ascii="仿宋" w:hAnsi="仿宋" w:eastAsia="仿宋" w:cs="仿宋"/>
          <w:sz w:val="32"/>
          <w:szCs w:val="32"/>
        </w:rPr>
        <w:t>管理的工作衔接上。使用过程中，按国库集中支付的要求，完善了报帐手续，做到资金使用合规，审批手续到位，资料符合要求，根据局专项资金管理制度，严格资金监管确保项目资金落到实处。</w:t>
      </w:r>
    </w:p>
    <w:p w14:paraId="2CED304C">
      <w:pPr>
        <w:pStyle w:val="2"/>
        <w:rPr>
          <w:rFonts w:hint="eastAsia"/>
        </w:rPr>
      </w:pPr>
    </w:p>
    <w:p w14:paraId="5086DBA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4E64AE15">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存在资金拨付不及时主要原因是</w:t>
      </w:r>
      <w:r>
        <w:rPr>
          <w:rFonts w:hint="eastAsia" w:ascii="仿宋_GB2312" w:eastAsia="仿宋_GB2312"/>
          <w:sz w:val="32"/>
          <w:szCs w:val="32"/>
        </w:rPr>
        <w:t>由于农业节气和农业项目资金到位的时间不一致导致资金拨付及时率达不到100%。</w:t>
      </w:r>
    </w:p>
    <w:p w14:paraId="5B40922E">
      <w:pPr>
        <w:pStyle w:val="14"/>
        <w:jc w:val="both"/>
        <w:rPr>
          <w:sz w:val="72"/>
          <w:szCs w:val="72"/>
        </w:rPr>
      </w:pPr>
    </w:p>
    <w:p w14:paraId="0FCB4AFA">
      <w:pPr>
        <w:pStyle w:val="14"/>
        <w:jc w:val="center"/>
        <w:rPr>
          <w:sz w:val="72"/>
          <w:szCs w:val="72"/>
        </w:rPr>
      </w:pPr>
    </w:p>
    <w:p w14:paraId="4D76889B">
      <w:pPr>
        <w:pStyle w:val="14"/>
        <w:jc w:val="center"/>
        <w:rPr>
          <w:sz w:val="72"/>
          <w:szCs w:val="72"/>
        </w:rPr>
      </w:pPr>
    </w:p>
    <w:p w14:paraId="21BC4DDF">
      <w:pPr>
        <w:pStyle w:val="14"/>
        <w:jc w:val="both"/>
        <w:rPr>
          <w:rFonts w:hint="eastAsia" w:ascii="方正小标宋_GBK" w:hAnsi="方正小标宋_GBK" w:eastAsia="方正小标宋_GBK" w:cs="方正小标宋_GBK"/>
          <w:sz w:val="72"/>
          <w:szCs w:val="72"/>
        </w:rPr>
      </w:pPr>
    </w:p>
    <w:p w14:paraId="05A73807">
      <w:pPr>
        <w:pStyle w:val="14"/>
        <w:jc w:val="both"/>
        <w:rPr>
          <w:rFonts w:hint="eastAsia" w:ascii="方正小标宋_GBK" w:hAnsi="方正小标宋_GBK" w:eastAsia="方正小标宋_GBK" w:cs="方正小标宋_GBK"/>
          <w:sz w:val="72"/>
          <w:szCs w:val="72"/>
        </w:rPr>
      </w:pPr>
    </w:p>
    <w:p w14:paraId="14BE5594">
      <w:pPr>
        <w:pStyle w:val="14"/>
        <w:jc w:val="both"/>
        <w:rPr>
          <w:rFonts w:hint="eastAsia" w:ascii="方正小标宋_GBK" w:hAnsi="方正小标宋_GBK" w:eastAsia="方正小标宋_GBK" w:cs="方正小标宋_GBK"/>
          <w:sz w:val="72"/>
          <w:szCs w:val="72"/>
        </w:rPr>
      </w:pPr>
    </w:p>
    <w:p w14:paraId="678E1B6D">
      <w:pPr>
        <w:pStyle w:val="14"/>
        <w:jc w:val="both"/>
        <w:rPr>
          <w:rFonts w:hint="eastAsia" w:ascii="方正小标宋_GBK" w:hAnsi="方正小标宋_GBK" w:eastAsia="方正小标宋_GBK" w:cs="方正小标宋_GBK"/>
          <w:sz w:val="72"/>
          <w:szCs w:val="72"/>
        </w:rPr>
      </w:pPr>
    </w:p>
    <w:p w14:paraId="26FC0F33">
      <w:pPr>
        <w:pStyle w:val="14"/>
        <w:jc w:val="both"/>
        <w:rPr>
          <w:rFonts w:hint="eastAsia" w:ascii="方正小标宋_GBK" w:hAnsi="方正小标宋_GBK" w:eastAsia="方正小标宋_GBK" w:cs="方正小标宋_GBK"/>
          <w:sz w:val="72"/>
          <w:szCs w:val="72"/>
        </w:rPr>
      </w:pPr>
    </w:p>
    <w:p w14:paraId="6578FF72">
      <w:pPr>
        <w:pStyle w:val="14"/>
        <w:jc w:val="both"/>
        <w:rPr>
          <w:rFonts w:hint="eastAsia" w:ascii="方正小标宋_GBK" w:hAnsi="方正小标宋_GBK" w:eastAsia="方正小标宋_GBK" w:cs="方正小标宋_GBK"/>
          <w:sz w:val="72"/>
          <w:szCs w:val="72"/>
        </w:rPr>
      </w:pPr>
    </w:p>
    <w:p w14:paraId="46771638">
      <w:pPr>
        <w:pStyle w:val="14"/>
        <w:jc w:val="both"/>
        <w:rPr>
          <w:rFonts w:hint="eastAsia" w:ascii="方正小标宋_GBK" w:hAnsi="方正小标宋_GBK" w:eastAsia="方正小标宋_GBK" w:cs="方正小标宋_GBK"/>
          <w:sz w:val="72"/>
          <w:szCs w:val="72"/>
        </w:rPr>
      </w:pPr>
    </w:p>
    <w:p w14:paraId="23A30679">
      <w:pPr>
        <w:pStyle w:val="14"/>
        <w:jc w:val="both"/>
        <w:rPr>
          <w:rFonts w:hint="eastAsia" w:ascii="方正小标宋_GBK" w:hAnsi="方正小标宋_GBK" w:eastAsia="方正小标宋_GBK" w:cs="方正小标宋_GBK"/>
          <w:sz w:val="72"/>
          <w:szCs w:val="72"/>
        </w:rPr>
      </w:pPr>
    </w:p>
    <w:p w14:paraId="0E940629">
      <w:pPr>
        <w:pStyle w:val="14"/>
        <w:jc w:val="both"/>
        <w:rPr>
          <w:rFonts w:hint="eastAsia" w:ascii="方正小标宋_GBK" w:hAnsi="方正小标宋_GBK" w:eastAsia="方正小标宋_GBK" w:cs="方正小标宋_GBK"/>
          <w:sz w:val="72"/>
          <w:szCs w:val="72"/>
        </w:rPr>
      </w:pPr>
    </w:p>
    <w:p w14:paraId="56392D4E">
      <w:pPr>
        <w:pStyle w:val="14"/>
        <w:jc w:val="both"/>
        <w:rPr>
          <w:rFonts w:hint="eastAsia" w:ascii="方正小标宋_GBK" w:hAnsi="方正小标宋_GBK" w:eastAsia="方正小标宋_GBK" w:cs="方正小标宋_GBK"/>
          <w:sz w:val="72"/>
          <w:szCs w:val="72"/>
        </w:rPr>
      </w:pPr>
    </w:p>
    <w:p w14:paraId="026B3B4E">
      <w:pPr>
        <w:pStyle w:val="14"/>
        <w:jc w:val="center"/>
        <w:rPr>
          <w:rFonts w:hint="eastAsia" w:ascii="方正小标宋_GBK" w:hAnsi="方正小标宋_GBK" w:eastAsia="方正小标宋_GBK" w:cs="方正小标宋_GBK"/>
          <w:sz w:val="72"/>
          <w:szCs w:val="72"/>
        </w:rPr>
      </w:pPr>
    </w:p>
    <w:p w14:paraId="08A3A92B">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57A136B">
      <w:pPr>
        <w:jc w:val="center"/>
        <w:rPr>
          <w:rFonts w:hint="eastAsia" w:ascii="方正小标宋_GBK" w:hAnsi="方正小标宋_GBK" w:eastAsia="方正小标宋_GBK" w:cs="方正小标宋_GBK"/>
          <w:color w:val="000000"/>
          <w:kern w:val="0"/>
          <w:sz w:val="70"/>
          <w:szCs w:val="70"/>
        </w:rPr>
      </w:pPr>
    </w:p>
    <w:p w14:paraId="3BDA1C80">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2EC4C55">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ABE7B6B">
      <w:pPr>
        <w:ind w:firstLine="643"/>
        <w:jc w:val="left"/>
        <w:rPr>
          <w:rFonts w:ascii="仿宋" w:hAnsi="仿宋" w:eastAsia="仿宋" w:cs="仿宋"/>
          <w:sz w:val="32"/>
        </w:rPr>
      </w:pPr>
      <w:r>
        <w:rPr>
          <w:rFonts w:hint="eastAsia" w:ascii="仿宋" w:hAnsi="仿宋" w:eastAsia="仿宋" w:cs="仿宋"/>
          <w:b/>
          <w:sz w:val="32"/>
        </w:rPr>
        <w:t>一、财政拨款收入：</w:t>
      </w:r>
      <w:r>
        <w:rPr>
          <w:rFonts w:hint="eastAsia" w:ascii="仿宋" w:hAnsi="仿宋" w:eastAsia="仿宋" w:cs="仿宋"/>
          <w:sz w:val="32"/>
        </w:rPr>
        <w:t>指中央财政当年拨付的资金。</w:t>
      </w:r>
      <w:r>
        <w:rPr>
          <w:rFonts w:ascii="仿宋" w:hAnsi="仿宋" w:eastAsia="仿宋" w:cs="仿宋"/>
          <w:sz w:val="32"/>
        </w:rPr>
        <w:t xml:space="preserve"> </w:t>
      </w:r>
    </w:p>
    <w:p w14:paraId="5E1A9AEB">
      <w:pPr>
        <w:ind w:firstLine="643"/>
        <w:jc w:val="left"/>
        <w:rPr>
          <w:rFonts w:ascii="仿宋" w:hAnsi="仿宋" w:eastAsia="仿宋" w:cs="仿宋"/>
          <w:sz w:val="32"/>
        </w:rPr>
      </w:pPr>
      <w:r>
        <w:rPr>
          <w:rFonts w:hint="eastAsia" w:ascii="仿宋" w:hAnsi="仿宋" w:eastAsia="仿宋" w:cs="仿宋"/>
          <w:b/>
          <w:sz w:val="32"/>
        </w:rPr>
        <w:t>二、事业收入：</w:t>
      </w:r>
      <w:r>
        <w:rPr>
          <w:rFonts w:hint="eastAsia" w:ascii="仿宋" w:hAnsi="仿宋" w:eastAsia="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hAnsi="仿宋" w:eastAsia="仿宋" w:cs="仿宋"/>
          <w:sz w:val="32"/>
        </w:rPr>
        <w:t xml:space="preserve"> </w:t>
      </w:r>
    </w:p>
    <w:p w14:paraId="7151365B">
      <w:pPr>
        <w:ind w:firstLine="643"/>
        <w:jc w:val="left"/>
        <w:rPr>
          <w:rFonts w:ascii="仿宋" w:hAnsi="仿宋" w:eastAsia="仿宋" w:cs="仿宋"/>
          <w:sz w:val="32"/>
        </w:rPr>
      </w:pPr>
      <w:r>
        <w:rPr>
          <w:rFonts w:hint="eastAsia" w:ascii="仿宋" w:hAnsi="仿宋" w:eastAsia="仿宋" w:cs="仿宋"/>
          <w:b/>
          <w:sz w:val="32"/>
        </w:rPr>
        <w:t>三、经营收入：</w:t>
      </w:r>
      <w:r>
        <w:rPr>
          <w:rFonts w:hint="eastAsia" w:ascii="仿宋" w:hAnsi="仿宋" w:eastAsia="仿宋" w:cs="仿宋"/>
          <w:sz w:val="32"/>
        </w:rPr>
        <w:t>指事业单位在专业业务活动及其辅助活动之外开展非独立核算经营活动取得的收入。如：中国财政杂志社广告收入等。</w:t>
      </w:r>
      <w:r>
        <w:rPr>
          <w:rFonts w:ascii="仿宋" w:hAnsi="仿宋" w:eastAsia="仿宋" w:cs="仿宋"/>
          <w:sz w:val="32"/>
        </w:rPr>
        <w:t xml:space="preserve"> </w:t>
      </w:r>
    </w:p>
    <w:p w14:paraId="5CACE919">
      <w:pPr>
        <w:ind w:firstLine="643"/>
        <w:jc w:val="left"/>
        <w:rPr>
          <w:rFonts w:ascii="仿宋" w:hAnsi="仿宋" w:eastAsia="仿宋" w:cs="仿宋"/>
          <w:sz w:val="32"/>
        </w:rPr>
      </w:pPr>
      <w:r>
        <w:rPr>
          <w:rFonts w:hint="eastAsia" w:ascii="仿宋" w:hAnsi="仿宋" w:eastAsia="仿宋" w:cs="仿宋"/>
          <w:b/>
          <w:sz w:val="32"/>
        </w:rPr>
        <w:t>四、其他收入：</w:t>
      </w:r>
      <w:r>
        <w:rPr>
          <w:rFonts w:hint="eastAsia" w:ascii="仿宋" w:hAnsi="仿宋" w:eastAsia="仿宋" w:cs="仿宋"/>
          <w:sz w:val="32"/>
        </w:rPr>
        <w:t>指除上述“财政拨款收入”</w:t>
      </w:r>
      <w:r>
        <w:rPr>
          <w:rFonts w:ascii="仿宋" w:hAnsi="仿宋" w:eastAsia="仿宋" w:cs="仿宋"/>
          <w:sz w:val="32"/>
        </w:rPr>
        <w:t xml:space="preserve"> </w:t>
      </w:r>
      <w:r>
        <w:rPr>
          <w:rFonts w:hint="eastAsia" w:ascii="仿宋" w:hAnsi="仿宋" w:eastAsia="仿宋" w:cs="仿宋"/>
          <w:sz w:val="32"/>
        </w:rPr>
        <w:t>、</w:t>
      </w:r>
      <w:r>
        <w:rPr>
          <w:rFonts w:ascii="仿宋" w:hAnsi="仿宋" w:eastAsia="仿宋" w:cs="仿宋"/>
          <w:sz w:val="32"/>
        </w:rPr>
        <w:t xml:space="preserve"> </w:t>
      </w:r>
      <w:r>
        <w:rPr>
          <w:rFonts w:hint="eastAsia" w:ascii="仿宋" w:hAnsi="仿宋" w:eastAsia="仿宋" w:cs="仿宋"/>
          <w:sz w:val="32"/>
        </w:rPr>
        <w:t>“事业收入”</w:t>
      </w:r>
      <w:r>
        <w:rPr>
          <w:rFonts w:ascii="仿宋" w:hAnsi="仿宋" w:eastAsia="仿宋" w:cs="仿宋"/>
          <w:sz w:val="32"/>
        </w:rPr>
        <w:t xml:space="preserve"> </w:t>
      </w:r>
      <w:r>
        <w:rPr>
          <w:rFonts w:hint="eastAsia" w:ascii="仿宋" w:hAnsi="仿宋" w:eastAsia="仿宋" w:cs="仿宋"/>
          <w:sz w:val="32"/>
        </w:rPr>
        <w:t>、“经营收入”等以外的收入。主要是按规定动用的售房收入、存款利息收入等。</w:t>
      </w:r>
      <w:r>
        <w:rPr>
          <w:rFonts w:ascii="仿宋" w:hAnsi="仿宋" w:eastAsia="仿宋" w:cs="仿宋"/>
          <w:sz w:val="32"/>
        </w:rPr>
        <w:t xml:space="preserve"> </w:t>
      </w:r>
    </w:p>
    <w:p w14:paraId="3277752B">
      <w:pPr>
        <w:ind w:firstLine="643"/>
        <w:jc w:val="left"/>
        <w:rPr>
          <w:rFonts w:ascii="仿宋" w:hAnsi="仿宋" w:eastAsia="仿宋" w:cs="仿宋"/>
          <w:sz w:val="32"/>
        </w:rPr>
      </w:pPr>
      <w:r>
        <w:rPr>
          <w:rFonts w:hint="eastAsia" w:ascii="仿宋" w:hAnsi="仿宋" w:eastAsia="仿宋" w:cs="仿宋"/>
          <w:b/>
          <w:sz w:val="32"/>
        </w:rPr>
        <w:t>五、用事业基金弥补收支差额：</w:t>
      </w:r>
      <w:r>
        <w:rPr>
          <w:rFonts w:hint="eastAsia" w:ascii="仿宋" w:hAnsi="仿宋" w:eastAsia="仿宋" w:cs="仿宋"/>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sz w:val="32"/>
        </w:rPr>
        <w:t xml:space="preserve"> </w:t>
      </w:r>
    </w:p>
    <w:p w14:paraId="63ACE9E5">
      <w:pPr>
        <w:ind w:firstLine="643"/>
        <w:jc w:val="left"/>
        <w:rPr>
          <w:rFonts w:ascii="仿宋" w:hAnsi="仿宋" w:eastAsia="仿宋" w:cs="仿宋"/>
          <w:sz w:val="32"/>
        </w:rPr>
      </w:pPr>
      <w:r>
        <w:rPr>
          <w:rFonts w:hint="eastAsia" w:ascii="仿宋" w:hAnsi="仿宋" w:eastAsia="仿宋" w:cs="仿宋"/>
          <w:b/>
          <w:sz w:val="32"/>
        </w:rPr>
        <w:t>六、年初结转和结余：</w:t>
      </w:r>
      <w:r>
        <w:rPr>
          <w:rFonts w:hint="eastAsia" w:ascii="仿宋" w:hAnsi="仿宋" w:eastAsia="仿宋" w:cs="仿宋"/>
          <w:sz w:val="32"/>
        </w:rPr>
        <w:t>指以前年度尚未完成、结转到本年按有关规定继续使用的资金。</w:t>
      </w:r>
      <w:r>
        <w:rPr>
          <w:rFonts w:ascii="仿宋" w:hAnsi="仿宋" w:eastAsia="仿宋" w:cs="仿宋"/>
          <w:sz w:val="32"/>
        </w:rPr>
        <w:t xml:space="preserve"> </w:t>
      </w:r>
    </w:p>
    <w:p w14:paraId="2C6CE3F3">
      <w:pPr>
        <w:ind w:firstLine="643"/>
        <w:jc w:val="left"/>
        <w:rPr>
          <w:rFonts w:ascii="仿宋" w:hAnsi="仿宋" w:eastAsia="仿宋" w:cs="仿宋"/>
          <w:sz w:val="32"/>
        </w:rPr>
      </w:pPr>
      <w:r>
        <w:rPr>
          <w:rFonts w:hint="eastAsia" w:ascii="仿宋" w:hAnsi="仿宋" w:eastAsia="仿宋" w:cs="仿宋"/>
          <w:b/>
          <w:sz w:val="32"/>
        </w:rPr>
        <w:t>七、结余分配：</w:t>
      </w:r>
      <w:r>
        <w:rPr>
          <w:rFonts w:hint="eastAsia" w:ascii="仿宋" w:hAnsi="仿宋" w:eastAsia="仿宋" w:cs="仿宋"/>
          <w:sz w:val="32"/>
        </w:rPr>
        <w:t>指事业单位按规定提取的职工福利基金、事业基金和缴纳的所得税，以及建设单位按规定应交回的基本建设竣工项目结余资金。</w:t>
      </w:r>
    </w:p>
    <w:p w14:paraId="270090F6">
      <w:pPr>
        <w:ind w:firstLine="643"/>
        <w:jc w:val="left"/>
        <w:rPr>
          <w:rFonts w:ascii="仿宋" w:hAnsi="仿宋" w:eastAsia="仿宋" w:cs="仿宋"/>
          <w:sz w:val="32"/>
        </w:rPr>
      </w:pPr>
      <w:r>
        <w:rPr>
          <w:rFonts w:hint="eastAsia" w:ascii="仿宋" w:hAnsi="仿宋" w:eastAsia="仿宋" w:cs="仿宋"/>
          <w:b/>
          <w:sz w:val="32"/>
        </w:rPr>
        <w:t>八、年末结转和结余：</w:t>
      </w:r>
      <w:r>
        <w:rPr>
          <w:rFonts w:hint="eastAsia" w:ascii="仿宋" w:hAnsi="仿宋" w:eastAsia="仿宋" w:cs="仿宋"/>
          <w:sz w:val="32"/>
        </w:rPr>
        <w:t>指本年度或以前年度预算安排、因客观条件发生变化无法按原计划实施，需要延迟到以后年度按有关规定继续使用的资金。</w:t>
      </w:r>
      <w:r>
        <w:rPr>
          <w:rFonts w:ascii="仿宋" w:hAnsi="仿宋" w:eastAsia="仿宋" w:cs="仿宋"/>
          <w:sz w:val="32"/>
        </w:rPr>
        <w:t xml:space="preserve"> </w:t>
      </w:r>
    </w:p>
    <w:p w14:paraId="4DFD3FFA">
      <w:pPr>
        <w:ind w:firstLine="643"/>
        <w:jc w:val="left"/>
        <w:rPr>
          <w:rFonts w:hint="eastAsia" w:ascii="仿宋" w:hAnsi="仿宋" w:eastAsia="仿宋" w:cs="仿宋"/>
          <w:sz w:val="32"/>
        </w:rPr>
      </w:pPr>
      <w:r>
        <w:rPr>
          <w:rFonts w:hint="eastAsia" w:ascii="仿宋" w:hAnsi="仿宋" w:eastAsia="仿宋" w:cs="仿宋"/>
          <w:b/>
          <w:sz w:val="32"/>
        </w:rPr>
        <w:t>九、基本支出：</w:t>
      </w:r>
      <w:r>
        <w:rPr>
          <w:rFonts w:hint="eastAsia" w:ascii="仿宋" w:hAnsi="仿宋" w:eastAsia="仿宋" w:cs="仿宋"/>
          <w:sz w:val="32"/>
        </w:rPr>
        <w:t>指为保障机构正常运转、完成日常工作任务而发生的人员支出和公用支出。</w:t>
      </w:r>
    </w:p>
    <w:p w14:paraId="28003AE3">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十、</w:t>
      </w:r>
      <w:r>
        <w:rPr>
          <w:rFonts w:hint="eastAsia" w:ascii="仿宋" w:hAnsi="仿宋" w:eastAsia="仿宋" w:cs="仿宋"/>
          <w:b/>
          <w:sz w:val="32"/>
        </w:rPr>
        <w:t>一般公共服务支出（类）：</w:t>
      </w:r>
      <w:r>
        <w:rPr>
          <w:rFonts w:hint="eastAsia" w:ascii="仿宋" w:hAnsi="仿宋" w:eastAsia="仿宋" w:cs="仿宋"/>
          <w:sz w:val="32"/>
        </w:rPr>
        <w:t>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公共服务方面的支出。</w:t>
      </w:r>
    </w:p>
    <w:p w14:paraId="30B0E66C">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十一、</w:t>
      </w:r>
      <w:r>
        <w:rPr>
          <w:rFonts w:hint="eastAsia" w:ascii="仿宋" w:hAnsi="仿宋" w:eastAsia="仿宋" w:cs="仿宋"/>
          <w:b/>
          <w:sz w:val="32"/>
        </w:rPr>
        <w:t>社会保障和就业支出（类）：</w:t>
      </w:r>
      <w:r>
        <w:rPr>
          <w:rFonts w:hint="eastAsia" w:ascii="仿宋" w:hAnsi="仿宋" w:eastAsia="仿宋" w:cs="仿宋"/>
          <w:sz w:val="32"/>
        </w:rPr>
        <w:t>是指用于社会保障和就业方面的支出，包括保障机构正常运转、完成日常和特定的工作任务或事业发展目标的支出。归口管理的行政单位离退休，指离退休人员管理机构统一管理的机关离退休人员的经费。</w:t>
      </w:r>
    </w:p>
    <w:p w14:paraId="532E7F75">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十二、</w:t>
      </w:r>
      <w:r>
        <w:rPr>
          <w:rFonts w:hint="eastAsia" w:ascii="仿宋" w:hAnsi="仿宋" w:eastAsia="仿宋" w:cs="仿宋"/>
          <w:b/>
          <w:sz w:val="32"/>
        </w:rPr>
        <w:t>农林水支出（类）：</w:t>
      </w:r>
      <w:r>
        <w:rPr>
          <w:rFonts w:hint="eastAsia" w:ascii="仿宋" w:hAnsi="仿宋" w:eastAsia="仿宋" w:cs="仿宋"/>
          <w:sz w:val="32"/>
        </w:rPr>
        <w:t>是指用于农林水事务支出，包括保障机构正常运转、完成日常和特定的工作任务或事业发展目标的支出。</w:t>
      </w:r>
    </w:p>
    <w:p w14:paraId="440A16EA">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十三、住房保障支出（类）：</w:t>
      </w:r>
      <w:r>
        <w:rPr>
          <w:rFonts w:hint="eastAsia" w:ascii="仿宋" w:hAnsi="仿宋" w:eastAsia="仿宋" w:cs="仿宋"/>
          <w:sz w:val="32"/>
        </w:rPr>
        <w:t>是指用于住房方面的支出，包括保障机构正常运转、完成日常和特定的工作任务或事业发展目标的支出。</w:t>
      </w:r>
    </w:p>
    <w:p w14:paraId="5D9879D1">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十四、工资福利支出：</w:t>
      </w:r>
      <w:r>
        <w:rPr>
          <w:rFonts w:hint="eastAsia" w:ascii="仿宋" w:hAnsi="仿宋" w:eastAsia="仿宋" w:cs="仿宋"/>
          <w:sz w:val="32"/>
        </w:rPr>
        <w:t>反映单位开支的在职职工和编制外长期聘用人员的各类劳动报酬，以及为上述人员缴纳的各项社会保险费等。</w:t>
      </w:r>
    </w:p>
    <w:p w14:paraId="5881E181">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十五、</w:t>
      </w:r>
      <w:r>
        <w:rPr>
          <w:rFonts w:hint="eastAsia" w:ascii="宋体" w:hAnsi="宋体" w:cs="黑体"/>
          <w:color w:val="000000"/>
          <w:kern w:val="0"/>
          <w:sz w:val="32"/>
          <w:szCs w:val="32"/>
        </w:rPr>
        <w:t>基本工资：</w:t>
      </w:r>
      <w:r>
        <w:rPr>
          <w:rFonts w:hint="eastAsia" w:ascii="仿宋" w:hAnsi="仿宋" w:eastAsia="仿宋" w:cs="仿宋"/>
          <w:sz w:val="32"/>
        </w:rPr>
        <w:t>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14:paraId="4C78F971">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十六、</w:t>
      </w:r>
      <w:r>
        <w:rPr>
          <w:rFonts w:hint="eastAsia" w:ascii="宋体" w:hAnsi="宋体" w:cs="黑体"/>
          <w:color w:val="000000"/>
          <w:kern w:val="0"/>
          <w:sz w:val="32"/>
          <w:szCs w:val="32"/>
        </w:rPr>
        <w:t>津贴补贴：</w:t>
      </w:r>
      <w:r>
        <w:rPr>
          <w:rFonts w:hint="eastAsia" w:ascii="仿宋" w:hAnsi="仿宋" w:eastAsia="仿宋" w:cs="仿宋"/>
          <w:sz w:val="32"/>
        </w:rPr>
        <w:t>反映经国家批准建立的机关事业单位艰苦边远地区津贴、机关工作人员地区附加津贴、机关工作人员岗位津贴、事业单位工作人员特殊岗位津贴补贴等。</w:t>
      </w:r>
    </w:p>
    <w:p w14:paraId="658D8D35">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十七、</w:t>
      </w:r>
      <w:r>
        <w:rPr>
          <w:rFonts w:hint="eastAsia" w:ascii="宋体" w:hAnsi="宋体" w:cs="黑体"/>
          <w:color w:val="000000"/>
          <w:kern w:val="0"/>
          <w:sz w:val="32"/>
          <w:szCs w:val="32"/>
        </w:rPr>
        <w:t>绩效工资：</w:t>
      </w:r>
      <w:r>
        <w:rPr>
          <w:rFonts w:hint="eastAsia" w:ascii="仿宋" w:hAnsi="仿宋" w:eastAsia="仿宋" w:cs="仿宋"/>
          <w:sz w:val="32"/>
        </w:rPr>
        <w:t>反映事业单位工作人员的绩效工资。</w:t>
      </w:r>
    </w:p>
    <w:p w14:paraId="1A6F0D9E">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十八、</w:t>
      </w:r>
      <w:r>
        <w:rPr>
          <w:rFonts w:hint="eastAsia" w:ascii="宋体" w:hAnsi="宋体" w:cs="黑体"/>
          <w:color w:val="000000"/>
          <w:kern w:val="0"/>
          <w:sz w:val="32"/>
          <w:szCs w:val="32"/>
        </w:rPr>
        <w:t>机关事业单位基本养老保险缴费：</w:t>
      </w:r>
      <w:r>
        <w:rPr>
          <w:rFonts w:hint="eastAsia" w:ascii="仿宋" w:hAnsi="仿宋" w:eastAsia="仿宋" w:cs="仿宋"/>
          <w:sz w:val="32"/>
        </w:rPr>
        <w:t>反映机关事业单位缴纳的基本养老保险费。由单位代扣的工作人员基本养老保险缴费，不在此科目反映。</w:t>
      </w:r>
    </w:p>
    <w:p w14:paraId="38C1264A">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十九、</w:t>
      </w:r>
      <w:r>
        <w:rPr>
          <w:rFonts w:hint="eastAsia" w:ascii="宋体" w:hAnsi="宋体" w:cs="黑体"/>
          <w:color w:val="000000"/>
          <w:kern w:val="0"/>
          <w:sz w:val="32"/>
          <w:szCs w:val="32"/>
        </w:rPr>
        <w:t>职工基本医疗保险缴费：</w:t>
      </w:r>
      <w:r>
        <w:rPr>
          <w:rFonts w:hint="eastAsia" w:ascii="仿宋" w:hAnsi="仿宋" w:eastAsia="仿宋" w:cs="仿宋"/>
          <w:sz w:val="32"/>
        </w:rPr>
        <w:t>反映单位为职工缴纳的基本医疗保险费。</w:t>
      </w:r>
    </w:p>
    <w:p w14:paraId="72BB07EF">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二十、</w:t>
      </w:r>
      <w:r>
        <w:rPr>
          <w:rFonts w:hint="eastAsia" w:ascii="宋体" w:hAnsi="宋体" w:cs="黑体"/>
          <w:color w:val="000000"/>
          <w:kern w:val="0"/>
          <w:sz w:val="32"/>
          <w:szCs w:val="32"/>
        </w:rPr>
        <w:t>其他社会保障缴费：</w:t>
      </w:r>
      <w:r>
        <w:rPr>
          <w:rFonts w:hint="eastAsia" w:ascii="仿宋" w:hAnsi="仿宋" w:eastAsia="仿宋" w:cs="仿宋"/>
          <w:sz w:val="32"/>
        </w:rPr>
        <w:t>反映单位为职工缴纳的基本医疗、失业、工伤、生育等社会保险费，残疾人就业保障金，军队（含武警）为军人缴纳的伤亡、退役医疗等社会保险费。</w:t>
      </w:r>
    </w:p>
    <w:p w14:paraId="50A7DEE5">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二十一、</w:t>
      </w:r>
      <w:r>
        <w:rPr>
          <w:rFonts w:hint="eastAsia" w:ascii="宋体" w:hAnsi="宋体" w:cs="黑体"/>
          <w:color w:val="000000"/>
          <w:kern w:val="0"/>
          <w:sz w:val="32"/>
          <w:szCs w:val="32"/>
        </w:rPr>
        <w:t>住房公积金：</w:t>
      </w:r>
      <w:r>
        <w:rPr>
          <w:rFonts w:hint="eastAsia" w:ascii="仿宋" w:hAnsi="仿宋" w:eastAsia="仿宋" w:cs="仿宋"/>
          <w:sz w:val="32"/>
        </w:rPr>
        <w:t>反映行政事业单位按人力资源和社会保障部、财政部规定的基本工资和津贴补贴以及规定比例为职工缴纳的住房公积金。</w:t>
      </w:r>
    </w:p>
    <w:p w14:paraId="22A9EE5A">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二十二、</w:t>
      </w:r>
      <w:r>
        <w:rPr>
          <w:rFonts w:hint="eastAsia" w:ascii="宋体" w:hAnsi="宋体" w:cs="黑体"/>
          <w:color w:val="000000"/>
          <w:kern w:val="0"/>
          <w:sz w:val="32"/>
          <w:szCs w:val="32"/>
        </w:rPr>
        <w:t>商品和服务支出：</w:t>
      </w:r>
      <w:r>
        <w:rPr>
          <w:rFonts w:hint="eastAsia" w:ascii="仿宋" w:hAnsi="仿宋" w:eastAsia="仿宋" w:cs="仿宋"/>
          <w:sz w:val="32"/>
        </w:rPr>
        <w:t>反映单位购买商品和服务的支出（不包括用于购置固定资产的支出、战略性和应急储备支出）。</w:t>
      </w:r>
    </w:p>
    <w:p w14:paraId="38B6F8FA">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二十三、</w:t>
      </w:r>
      <w:r>
        <w:rPr>
          <w:rFonts w:hint="eastAsia" w:ascii="宋体" w:hAnsi="宋体" w:cs="黑体"/>
          <w:color w:val="000000"/>
          <w:kern w:val="0"/>
          <w:sz w:val="32"/>
          <w:szCs w:val="32"/>
        </w:rPr>
        <w:t>办公费：</w:t>
      </w:r>
      <w:r>
        <w:rPr>
          <w:rFonts w:hint="eastAsia" w:ascii="仿宋" w:hAnsi="仿宋" w:eastAsia="仿宋" w:cs="仿宋"/>
          <w:sz w:val="32"/>
        </w:rPr>
        <w:t>反映单位购买按财务会计制度规定不符合固定资产确认标准的日常办公用品、书报杂志等支出。</w:t>
      </w:r>
    </w:p>
    <w:p w14:paraId="71FA4C41">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二十四、</w:t>
      </w:r>
      <w:r>
        <w:rPr>
          <w:rFonts w:hint="eastAsia" w:ascii="宋体" w:hAnsi="宋体" w:cs="黑体"/>
          <w:color w:val="000000"/>
          <w:kern w:val="0"/>
          <w:sz w:val="32"/>
          <w:szCs w:val="32"/>
        </w:rPr>
        <w:t>水费：</w:t>
      </w:r>
      <w:r>
        <w:rPr>
          <w:rFonts w:hint="eastAsia" w:ascii="仿宋" w:hAnsi="仿宋" w:eastAsia="仿宋" w:cs="仿宋"/>
          <w:sz w:val="32"/>
        </w:rPr>
        <w:t>反映单位支付的水费、污水处理费等支出。</w:t>
      </w:r>
    </w:p>
    <w:p w14:paraId="28061178">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二十五、</w:t>
      </w:r>
      <w:r>
        <w:rPr>
          <w:rFonts w:hint="eastAsia" w:ascii="宋体" w:hAnsi="宋体" w:cs="黑体"/>
          <w:color w:val="000000"/>
          <w:kern w:val="0"/>
          <w:sz w:val="32"/>
          <w:szCs w:val="32"/>
        </w:rPr>
        <w:t>电费：</w:t>
      </w:r>
      <w:r>
        <w:rPr>
          <w:rFonts w:hint="eastAsia" w:ascii="仿宋" w:hAnsi="仿宋" w:eastAsia="仿宋" w:cs="仿宋"/>
          <w:sz w:val="32"/>
        </w:rPr>
        <w:t>反映单位的电费支出</w:t>
      </w:r>
      <w:r>
        <w:rPr>
          <w:rFonts w:hint="eastAsia" w:ascii="宋体" w:hAnsi="宋体" w:cs="黑体"/>
          <w:color w:val="000000"/>
          <w:kern w:val="0"/>
          <w:sz w:val="32"/>
          <w:szCs w:val="32"/>
        </w:rPr>
        <w:t>。</w:t>
      </w:r>
    </w:p>
    <w:p w14:paraId="3122E6CC">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二十六、</w:t>
      </w:r>
      <w:r>
        <w:rPr>
          <w:rFonts w:hint="eastAsia" w:ascii="宋体" w:hAnsi="宋体" w:cs="黑体"/>
          <w:color w:val="000000"/>
          <w:kern w:val="0"/>
          <w:sz w:val="32"/>
          <w:szCs w:val="32"/>
        </w:rPr>
        <w:t>邮电费：</w:t>
      </w:r>
      <w:r>
        <w:rPr>
          <w:rFonts w:hint="eastAsia" w:ascii="仿宋" w:hAnsi="仿宋" w:eastAsia="仿宋" w:cs="仿宋"/>
          <w:sz w:val="32"/>
        </w:rPr>
        <w:t>反映单位开支的信函、包裹、货物等物品的邮寄费及电话费、电报费、传真费、网络通讯费等。</w:t>
      </w:r>
    </w:p>
    <w:p w14:paraId="4FF1BF82">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二十七、</w:t>
      </w:r>
      <w:r>
        <w:rPr>
          <w:rFonts w:hint="eastAsia" w:ascii="宋体" w:hAnsi="宋体" w:cs="黑体"/>
          <w:color w:val="000000"/>
          <w:kern w:val="0"/>
          <w:sz w:val="32"/>
          <w:szCs w:val="32"/>
        </w:rPr>
        <w:t>差旅费：</w:t>
      </w:r>
      <w:r>
        <w:rPr>
          <w:rFonts w:hint="eastAsia" w:ascii="仿宋" w:hAnsi="仿宋" w:eastAsia="仿宋" w:cs="仿宋"/>
          <w:sz w:val="32"/>
        </w:rPr>
        <w:t>反映单位工作人员出差发生的城市间交通费、住宿费、伙食补贴费和市内交通费。</w:t>
      </w:r>
    </w:p>
    <w:p w14:paraId="7F8274D6">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二十八、</w:t>
      </w:r>
      <w:r>
        <w:rPr>
          <w:rFonts w:hint="eastAsia" w:ascii="宋体" w:hAnsi="宋体" w:cs="黑体"/>
          <w:color w:val="000000"/>
          <w:kern w:val="0"/>
          <w:sz w:val="32"/>
          <w:szCs w:val="32"/>
        </w:rPr>
        <w:t>维修(护)费：</w:t>
      </w:r>
      <w:r>
        <w:rPr>
          <w:rFonts w:hint="eastAsia" w:ascii="仿宋" w:hAnsi="仿宋" w:eastAsia="仿宋" w:cs="仿宋"/>
          <w:sz w:val="32"/>
        </w:rPr>
        <w:t>反映单位日常开支的固定资产（不包括车船等交通工具）修理和维护费用，网络信息系统运行与维护费用，以及按规定提取的修购基金。</w:t>
      </w:r>
    </w:p>
    <w:p w14:paraId="0506B23D">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二十九、</w:t>
      </w:r>
      <w:r>
        <w:rPr>
          <w:rFonts w:hint="eastAsia" w:ascii="宋体" w:hAnsi="宋体" w:cs="黑体"/>
          <w:color w:val="000000"/>
          <w:kern w:val="0"/>
          <w:sz w:val="32"/>
          <w:szCs w:val="32"/>
        </w:rPr>
        <w:t>公务接待费：</w:t>
      </w:r>
      <w:r>
        <w:rPr>
          <w:rFonts w:hint="eastAsia" w:ascii="仿宋" w:hAnsi="仿宋" w:eastAsia="仿宋" w:cs="仿宋"/>
          <w:sz w:val="32"/>
        </w:rPr>
        <w:t>反映单位按规定开支的各类公务接待（含外宾接待）费用。</w:t>
      </w:r>
    </w:p>
    <w:p w14:paraId="1E0C9B0E">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三十、</w:t>
      </w:r>
      <w:r>
        <w:rPr>
          <w:rFonts w:hint="eastAsia" w:ascii="宋体" w:hAnsi="宋体" w:cs="黑体"/>
          <w:color w:val="000000"/>
          <w:kern w:val="0"/>
          <w:sz w:val="32"/>
          <w:szCs w:val="32"/>
        </w:rPr>
        <w:t>工会经费：</w:t>
      </w:r>
      <w:r>
        <w:rPr>
          <w:rFonts w:hint="eastAsia" w:ascii="仿宋" w:hAnsi="仿宋" w:eastAsia="仿宋" w:cs="仿宋"/>
          <w:sz w:val="32"/>
        </w:rPr>
        <w:t>反映单位按规定提取的工会经费。</w:t>
      </w:r>
    </w:p>
    <w:p w14:paraId="4F7251DE">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三十一、</w:t>
      </w:r>
      <w:r>
        <w:rPr>
          <w:rFonts w:hint="eastAsia" w:ascii="宋体" w:hAnsi="宋体" w:cs="黑体"/>
          <w:color w:val="000000"/>
          <w:kern w:val="0"/>
          <w:sz w:val="32"/>
          <w:szCs w:val="32"/>
        </w:rPr>
        <w:t>其他交通费用：</w:t>
      </w:r>
      <w:r>
        <w:rPr>
          <w:rFonts w:hint="eastAsia" w:ascii="仿宋" w:hAnsi="仿宋" w:eastAsia="仿宋" w:cs="仿宋"/>
          <w:sz w:val="32"/>
        </w:rPr>
        <w:t>反映单位除公务用车运行维护费以外的其他交通费用。如公务交通补贴，租车费用、出租车费用，飞机、船舶等的燃料费、维修费、保险费等。</w:t>
      </w:r>
    </w:p>
    <w:p w14:paraId="6D87944A">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三十二、</w:t>
      </w:r>
      <w:r>
        <w:rPr>
          <w:rFonts w:hint="eastAsia" w:ascii="宋体" w:hAnsi="宋体" w:cs="黑体"/>
          <w:color w:val="000000"/>
          <w:kern w:val="0"/>
          <w:sz w:val="32"/>
          <w:szCs w:val="32"/>
        </w:rPr>
        <w:t>对个人和家庭的补助：</w:t>
      </w:r>
      <w:r>
        <w:rPr>
          <w:rFonts w:hint="eastAsia" w:ascii="仿宋" w:hAnsi="仿宋" w:eastAsia="仿宋" w:cs="仿宋"/>
          <w:sz w:val="32"/>
        </w:rPr>
        <w:t>反映政府用于对个人和家庭的补助支出。</w:t>
      </w:r>
    </w:p>
    <w:p w14:paraId="097E01D3">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三十三、</w:t>
      </w:r>
      <w:r>
        <w:rPr>
          <w:rFonts w:hint="eastAsia" w:ascii="宋体" w:hAnsi="宋体" w:cs="黑体"/>
          <w:color w:val="000000"/>
          <w:kern w:val="0"/>
          <w:sz w:val="32"/>
          <w:szCs w:val="32"/>
        </w:rPr>
        <w:t>退休费：</w:t>
      </w:r>
      <w:r>
        <w:rPr>
          <w:rFonts w:hint="eastAsia" w:ascii="仿宋" w:hAnsi="仿宋" w:eastAsia="仿宋" w:cs="仿宋"/>
          <w:sz w:val="32"/>
        </w:rPr>
        <w:t>反映行政事业单位和军队移交政府安置的退休人员的退休费和其他补贴。</w:t>
      </w:r>
    </w:p>
    <w:p w14:paraId="16EC4568">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三十四、</w:t>
      </w:r>
      <w:r>
        <w:rPr>
          <w:rFonts w:hint="eastAsia" w:ascii="宋体" w:hAnsi="宋体" w:cs="黑体"/>
          <w:color w:val="000000"/>
          <w:kern w:val="0"/>
          <w:sz w:val="32"/>
          <w:szCs w:val="32"/>
        </w:rPr>
        <w:t>生活补助：</w:t>
      </w:r>
      <w:r>
        <w:rPr>
          <w:rFonts w:hint="eastAsia" w:ascii="仿宋" w:hAnsi="仿宋" w:eastAsia="仿宋" w:cs="仿宋"/>
          <w:sz w:val="32"/>
        </w:rPr>
        <w:t>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14:paraId="4455EC36">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lang w:val="en-US" w:eastAsia="zh-CN"/>
        </w:rPr>
        <w:t>三十五、</w:t>
      </w:r>
      <w:r>
        <w:rPr>
          <w:rFonts w:hint="eastAsia" w:ascii="宋体" w:hAnsi="宋体" w:cs="黑体"/>
          <w:color w:val="000000"/>
          <w:kern w:val="0"/>
          <w:sz w:val="32"/>
          <w:szCs w:val="32"/>
        </w:rPr>
        <w:t>奖励金：</w:t>
      </w:r>
      <w:r>
        <w:rPr>
          <w:rFonts w:hint="eastAsia" w:ascii="仿宋" w:hAnsi="仿宋" w:eastAsia="仿宋" w:cs="仿宋"/>
          <w:sz w:val="32"/>
        </w:rPr>
        <w:t>反映政府各部门的奖励支出，如对个体私营经济的奖励、计划生育目标责任奖励、独生子女父母奖励等</w:t>
      </w:r>
      <w:r>
        <w:rPr>
          <w:rFonts w:hint="eastAsia" w:ascii="宋体" w:hAnsi="宋体" w:cs="黑体"/>
          <w:color w:val="000000"/>
          <w:kern w:val="0"/>
          <w:sz w:val="32"/>
          <w:szCs w:val="32"/>
        </w:rPr>
        <w:t>。</w:t>
      </w:r>
    </w:p>
    <w:p w14:paraId="2312ED81">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三十六、</w:t>
      </w:r>
      <w:r>
        <w:rPr>
          <w:rFonts w:hint="eastAsia" w:ascii="宋体" w:hAnsi="宋体" w:cs="黑体"/>
          <w:color w:val="000000"/>
          <w:kern w:val="0"/>
          <w:sz w:val="32"/>
          <w:szCs w:val="32"/>
        </w:rPr>
        <w:t>其他资本性支出：</w:t>
      </w:r>
      <w:r>
        <w:rPr>
          <w:rFonts w:hint="eastAsia" w:ascii="仿宋" w:hAnsi="仿宋" w:eastAsia="仿宋" w:cs="仿宋"/>
          <w:sz w:val="32"/>
        </w:rPr>
        <w:t>反映发展与改革部门以外的其他部门安排的用于购置固定资产、战略性和应急性储备、土地和无形资产，以及购建基础设施、大型修缮和财政支持企业更新改造所发生的支出。</w:t>
      </w:r>
    </w:p>
    <w:p w14:paraId="5A7A2ECF">
      <w:pPr>
        <w:ind w:firstLine="640" w:firstLineChars="200"/>
        <w:rPr>
          <w:rFonts w:hint="eastAsia" w:ascii="仿宋" w:hAnsi="仿宋" w:eastAsia="仿宋" w:cs="仿宋"/>
          <w:sz w:val="32"/>
        </w:rPr>
      </w:pPr>
      <w:r>
        <w:rPr>
          <w:rFonts w:hint="eastAsia" w:ascii="宋体" w:hAnsi="宋体" w:cs="黑体"/>
          <w:color w:val="000000"/>
          <w:kern w:val="0"/>
          <w:sz w:val="32"/>
          <w:szCs w:val="32"/>
          <w:lang w:val="en-US" w:eastAsia="zh-CN"/>
        </w:rPr>
        <w:t>三十七、</w:t>
      </w:r>
      <w:r>
        <w:rPr>
          <w:rFonts w:hint="eastAsia" w:ascii="宋体" w:hAnsi="宋体" w:cs="黑体"/>
          <w:color w:val="000000"/>
          <w:kern w:val="0"/>
          <w:sz w:val="32"/>
          <w:szCs w:val="32"/>
        </w:rPr>
        <w:t>办公设备购置：</w:t>
      </w:r>
      <w:r>
        <w:rPr>
          <w:rFonts w:hint="eastAsia" w:ascii="仿宋" w:hAnsi="仿宋" w:eastAsia="仿宋" w:cs="仿宋"/>
          <w:sz w:val="32"/>
        </w:rPr>
        <w:t>反映用于购置并按财务会计制度规定纳入固定资产核算范围的办公家具和办公设备的支出，以及按规定提取的修购基金。</w:t>
      </w:r>
    </w:p>
    <w:p w14:paraId="782A93F0">
      <w:pPr>
        <w:jc w:val="left"/>
        <w:rPr>
          <w:rFonts w:ascii="仿宋" w:hAnsi="仿宋" w:eastAsia="仿宋" w:cs="仿宋"/>
          <w:sz w:val="32"/>
        </w:rPr>
      </w:pPr>
      <w:r>
        <w:rPr>
          <w:rFonts w:ascii="仿宋" w:hAnsi="仿宋" w:eastAsia="仿宋" w:cs="仿宋"/>
          <w:sz w:val="32"/>
        </w:rPr>
        <w:t xml:space="preserve"> </w:t>
      </w:r>
      <w:r>
        <w:rPr>
          <w:rFonts w:hint="eastAsia" w:ascii="仿宋" w:hAnsi="仿宋" w:eastAsia="仿宋" w:cs="仿宋"/>
          <w:sz w:val="32"/>
          <w:lang w:val="en-US" w:eastAsia="zh-CN"/>
        </w:rPr>
        <w:t xml:space="preserve">   </w:t>
      </w:r>
      <w:r>
        <w:rPr>
          <w:rFonts w:hint="eastAsia" w:ascii="仿宋" w:hAnsi="仿宋" w:eastAsia="仿宋" w:cs="仿宋"/>
          <w:b/>
          <w:sz w:val="32"/>
          <w:lang w:val="en-US" w:eastAsia="zh-CN"/>
        </w:rPr>
        <w:t>三十八</w:t>
      </w:r>
      <w:r>
        <w:rPr>
          <w:rFonts w:hint="eastAsia" w:ascii="仿宋" w:hAnsi="仿宋" w:eastAsia="仿宋" w:cs="仿宋"/>
          <w:b/>
          <w:sz w:val="32"/>
        </w:rPr>
        <w:t>、项目支出：</w:t>
      </w:r>
      <w:r>
        <w:rPr>
          <w:rFonts w:hint="eastAsia" w:ascii="仿宋" w:hAnsi="仿宋" w:eastAsia="仿宋" w:cs="仿宋"/>
          <w:sz w:val="32"/>
        </w:rPr>
        <w:t>指在基本支出之外为完成特定行政任务和事业发展目标所发生的支出。</w:t>
      </w:r>
      <w:r>
        <w:rPr>
          <w:rFonts w:ascii="仿宋" w:hAnsi="仿宋" w:eastAsia="仿宋" w:cs="仿宋"/>
          <w:sz w:val="32"/>
        </w:rPr>
        <w:t xml:space="preserve"> </w:t>
      </w:r>
    </w:p>
    <w:p w14:paraId="11736AE6">
      <w:pPr>
        <w:ind w:firstLine="643"/>
        <w:jc w:val="left"/>
        <w:rPr>
          <w:rFonts w:ascii="仿宋" w:hAnsi="仿宋" w:eastAsia="仿宋" w:cs="仿宋"/>
          <w:sz w:val="32"/>
        </w:rPr>
      </w:pPr>
      <w:r>
        <w:rPr>
          <w:rFonts w:hint="eastAsia" w:ascii="仿宋" w:hAnsi="仿宋" w:eastAsia="仿宋" w:cs="仿宋"/>
          <w:b/>
          <w:sz w:val="32"/>
          <w:lang w:val="en-US" w:eastAsia="zh-CN"/>
        </w:rPr>
        <w:t>三十九</w:t>
      </w:r>
      <w:r>
        <w:rPr>
          <w:rFonts w:hint="eastAsia" w:ascii="仿宋" w:hAnsi="仿宋" w:eastAsia="仿宋" w:cs="仿宋"/>
          <w:b/>
          <w:sz w:val="32"/>
        </w:rPr>
        <w:t>、经营支出：</w:t>
      </w:r>
      <w:r>
        <w:rPr>
          <w:rFonts w:hint="eastAsia" w:ascii="仿宋" w:hAnsi="仿宋" w:eastAsia="仿宋" w:cs="仿宋"/>
          <w:sz w:val="32"/>
        </w:rPr>
        <w:t>指事业单位在专业业务活动及其辅助活动之外开展非独立核算经营活动发生的支出。</w:t>
      </w:r>
      <w:r>
        <w:rPr>
          <w:rFonts w:ascii="仿宋" w:hAnsi="仿宋" w:eastAsia="仿宋" w:cs="仿宋"/>
          <w:sz w:val="32"/>
        </w:rPr>
        <w:t xml:space="preserve"> </w:t>
      </w:r>
    </w:p>
    <w:p w14:paraId="67DDEB73">
      <w:pPr>
        <w:ind w:firstLine="643"/>
        <w:jc w:val="left"/>
        <w:rPr>
          <w:rFonts w:ascii="仿宋" w:hAnsi="仿宋" w:eastAsia="仿宋" w:cs="仿宋"/>
          <w:sz w:val="32"/>
        </w:rPr>
      </w:pPr>
      <w:r>
        <w:rPr>
          <w:rFonts w:hint="eastAsia" w:ascii="仿宋" w:hAnsi="仿宋" w:eastAsia="仿宋" w:cs="仿宋"/>
          <w:b/>
          <w:sz w:val="32"/>
          <w:lang w:val="en-US" w:eastAsia="zh-CN"/>
        </w:rPr>
        <w:t>四十</w:t>
      </w:r>
      <w:r>
        <w:rPr>
          <w:rFonts w:hint="eastAsia" w:ascii="仿宋" w:hAnsi="仿宋" w:eastAsia="仿宋" w:cs="仿宋"/>
          <w:b/>
          <w:sz w:val="32"/>
        </w:rPr>
        <w:t>、“三公”经费：</w:t>
      </w:r>
      <w:r>
        <w:rPr>
          <w:rFonts w:hint="eastAsia" w:ascii="仿宋" w:hAnsi="仿宋" w:eastAsia="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rPr>
        <w:t xml:space="preserve"> </w:t>
      </w:r>
    </w:p>
    <w:p w14:paraId="4D91F723">
      <w:pPr>
        <w:ind w:firstLine="643"/>
        <w:jc w:val="left"/>
        <w:rPr>
          <w:rFonts w:ascii="仿宋" w:hAnsi="仿宋" w:eastAsia="仿宋" w:cs="仿宋"/>
          <w:sz w:val="32"/>
        </w:rPr>
      </w:pPr>
      <w:r>
        <w:rPr>
          <w:rFonts w:hint="eastAsia" w:ascii="仿宋" w:hAnsi="仿宋" w:eastAsia="仿宋" w:cs="仿宋"/>
          <w:b/>
          <w:sz w:val="32"/>
          <w:lang w:val="en-US" w:eastAsia="zh-CN"/>
        </w:rPr>
        <w:t>四十一</w:t>
      </w:r>
      <w:r>
        <w:rPr>
          <w:rFonts w:hint="eastAsia" w:ascii="仿宋" w:hAnsi="仿宋" w:eastAsia="仿宋" w:cs="仿宋"/>
          <w:b/>
          <w:sz w:val="32"/>
        </w:rPr>
        <w:t>、机关运行经费：</w:t>
      </w:r>
      <w:r>
        <w:rPr>
          <w:rFonts w:hint="eastAsia"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2D19A0">
      <w:pPr>
        <w:pStyle w:val="14"/>
        <w:jc w:val="center"/>
        <w:rPr>
          <w:sz w:val="72"/>
          <w:szCs w:val="72"/>
        </w:rPr>
      </w:pPr>
    </w:p>
    <w:p w14:paraId="557456EC">
      <w:pPr>
        <w:pStyle w:val="14"/>
        <w:jc w:val="center"/>
        <w:rPr>
          <w:sz w:val="72"/>
          <w:szCs w:val="72"/>
        </w:rPr>
      </w:pPr>
    </w:p>
    <w:p w14:paraId="2912A8A1">
      <w:pPr>
        <w:pStyle w:val="14"/>
        <w:jc w:val="center"/>
        <w:rPr>
          <w:sz w:val="72"/>
          <w:szCs w:val="72"/>
        </w:rPr>
      </w:pPr>
    </w:p>
    <w:p w14:paraId="5CCD77EE">
      <w:pPr>
        <w:pStyle w:val="14"/>
        <w:jc w:val="center"/>
        <w:rPr>
          <w:sz w:val="72"/>
          <w:szCs w:val="72"/>
        </w:rPr>
      </w:pPr>
    </w:p>
    <w:p w14:paraId="3004C33C">
      <w:pPr>
        <w:pStyle w:val="14"/>
        <w:jc w:val="center"/>
        <w:rPr>
          <w:sz w:val="72"/>
          <w:szCs w:val="72"/>
        </w:rPr>
      </w:pPr>
    </w:p>
    <w:p w14:paraId="0C56CEE8">
      <w:pPr>
        <w:pStyle w:val="14"/>
        <w:jc w:val="center"/>
        <w:rPr>
          <w:sz w:val="72"/>
          <w:szCs w:val="72"/>
        </w:rPr>
      </w:pPr>
    </w:p>
    <w:p w14:paraId="75DADD1E">
      <w:pPr>
        <w:pStyle w:val="14"/>
        <w:jc w:val="center"/>
        <w:rPr>
          <w:sz w:val="72"/>
          <w:szCs w:val="72"/>
        </w:rPr>
      </w:pPr>
    </w:p>
    <w:p w14:paraId="4A0F5BDE">
      <w:pPr>
        <w:pStyle w:val="14"/>
        <w:jc w:val="center"/>
        <w:rPr>
          <w:sz w:val="72"/>
          <w:szCs w:val="72"/>
        </w:rPr>
      </w:pPr>
    </w:p>
    <w:p w14:paraId="316D4ED8">
      <w:pPr>
        <w:rPr>
          <w:sz w:val="72"/>
          <w:szCs w:val="72"/>
        </w:rPr>
      </w:pPr>
      <w:r>
        <w:rPr>
          <w:sz w:val="72"/>
          <w:szCs w:val="72"/>
        </w:rPr>
        <w:br w:type="page"/>
      </w:r>
    </w:p>
    <w:p w14:paraId="7AC5707F">
      <w:pPr>
        <w:pStyle w:val="14"/>
        <w:jc w:val="center"/>
        <w:rPr>
          <w:rFonts w:hint="eastAsia" w:ascii="方正小标宋_GBK" w:hAnsi="方正小标宋_GBK" w:eastAsia="方正小标宋_GBK" w:cs="方正小标宋_GBK"/>
          <w:sz w:val="72"/>
          <w:szCs w:val="72"/>
        </w:rPr>
      </w:pPr>
    </w:p>
    <w:p w14:paraId="132552AB">
      <w:pPr>
        <w:pStyle w:val="14"/>
        <w:jc w:val="center"/>
        <w:rPr>
          <w:rFonts w:hint="eastAsia" w:ascii="方正小标宋_GBK" w:hAnsi="方正小标宋_GBK" w:eastAsia="方正小标宋_GBK" w:cs="方正小标宋_GBK"/>
          <w:sz w:val="72"/>
          <w:szCs w:val="72"/>
        </w:rPr>
      </w:pPr>
    </w:p>
    <w:p w14:paraId="72097630">
      <w:pPr>
        <w:pStyle w:val="14"/>
        <w:jc w:val="center"/>
        <w:rPr>
          <w:rFonts w:hint="eastAsia" w:ascii="方正小标宋_GBK" w:hAnsi="方正小标宋_GBK" w:eastAsia="方正小标宋_GBK" w:cs="方正小标宋_GBK"/>
          <w:sz w:val="72"/>
          <w:szCs w:val="72"/>
        </w:rPr>
      </w:pPr>
    </w:p>
    <w:p w14:paraId="32FC5A76">
      <w:pPr>
        <w:pStyle w:val="14"/>
        <w:jc w:val="center"/>
        <w:rPr>
          <w:rFonts w:hint="eastAsia" w:ascii="方正小标宋_GBK" w:hAnsi="方正小标宋_GBK" w:eastAsia="方正小标宋_GBK" w:cs="方正小标宋_GBK"/>
          <w:sz w:val="72"/>
          <w:szCs w:val="72"/>
        </w:rPr>
      </w:pPr>
    </w:p>
    <w:p w14:paraId="44B863E2">
      <w:pPr>
        <w:pStyle w:val="14"/>
        <w:jc w:val="center"/>
        <w:rPr>
          <w:rFonts w:hint="eastAsia" w:ascii="方正小标宋_GBK" w:hAnsi="方正小标宋_GBK" w:eastAsia="方正小标宋_GBK" w:cs="方正小标宋_GBK"/>
          <w:sz w:val="72"/>
          <w:szCs w:val="72"/>
        </w:rPr>
      </w:pPr>
    </w:p>
    <w:p w14:paraId="27EC1931">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94D2409">
      <w:pPr>
        <w:pStyle w:val="14"/>
        <w:jc w:val="center"/>
        <w:rPr>
          <w:rFonts w:hint="eastAsia" w:ascii="方正小标宋_GBK" w:hAnsi="方正小标宋_GBK" w:eastAsia="方正小标宋_GBK" w:cs="方正小标宋_GBK"/>
          <w:sz w:val="70"/>
          <w:szCs w:val="70"/>
        </w:rPr>
      </w:pPr>
    </w:p>
    <w:p w14:paraId="42E1680C">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36DB3DE">
      <w:pPr>
        <w:rPr>
          <w:rFonts w:cs="黑体" w:asciiTheme="minorEastAsia" w:hAnsiTheme="minorEastAsia"/>
          <w:color w:val="000000"/>
          <w:kern w:val="0"/>
          <w:sz w:val="32"/>
          <w:szCs w:val="32"/>
        </w:rPr>
      </w:pPr>
      <w:bookmarkStart w:id="1" w:name="_GoBack"/>
      <w:bookmarkEnd w:id="1"/>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516C0"/>
    <w:multiLevelType w:val="singleLevel"/>
    <w:tmpl w:val="945516C0"/>
    <w:lvl w:ilvl="0" w:tentative="0">
      <w:start w:val="3"/>
      <w:numFmt w:val="decimal"/>
      <w:suff w:val="nothing"/>
      <w:lvlText w:val="%1、"/>
      <w:lvlJc w:val="left"/>
    </w:lvl>
  </w:abstractNum>
  <w:abstractNum w:abstractNumId="1">
    <w:nsid w:val="CAD05A8A"/>
    <w:multiLevelType w:val="singleLevel"/>
    <w:tmpl w:val="CAD05A8A"/>
    <w:lvl w:ilvl="0" w:tentative="0">
      <w:start w:val="4"/>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MjY4MjAyOTZkMTYwYTllNWI4YTcwMzE0ZTdkN2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C311A6"/>
    <w:rsid w:val="061A5E69"/>
    <w:rsid w:val="1D97DEFF"/>
    <w:rsid w:val="1DFF72E5"/>
    <w:rsid w:val="1EFC6F07"/>
    <w:rsid w:val="1F65190D"/>
    <w:rsid w:val="2FDF85B8"/>
    <w:rsid w:val="2FFFEE04"/>
    <w:rsid w:val="34DF85B0"/>
    <w:rsid w:val="3B8F36BC"/>
    <w:rsid w:val="491FF225"/>
    <w:rsid w:val="4AB211A3"/>
    <w:rsid w:val="4E795400"/>
    <w:rsid w:val="4E930694"/>
    <w:rsid w:val="4FFD214C"/>
    <w:rsid w:val="5777D4F5"/>
    <w:rsid w:val="59DD8326"/>
    <w:rsid w:val="5DEF592A"/>
    <w:rsid w:val="5FC6BB1E"/>
    <w:rsid w:val="5FF720F1"/>
    <w:rsid w:val="66E005EB"/>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spacing w:after="120"/>
      <w:ind w:left="420" w:leftChars="200" w:firstLine="200" w:firstLineChars="200"/>
      <w:textAlignment w:val="baseline"/>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5445</Words>
  <Characters>5972</Characters>
  <Lines>63</Lines>
  <Paragraphs>18</Paragraphs>
  <TotalTime>1</TotalTime>
  <ScaleCrop>false</ScaleCrop>
  <LinksUpToDate>false</LinksUpToDate>
  <CharactersWithSpaces>6002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LJ</cp:lastModifiedBy>
  <cp:lastPrinted>2024-08-08T10:20:00Z</cp:lastPrinted>
  <dcterms:modified xsi:type="dcterms:W3CDTF">2024-08-27T00:57:17Z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5A09B842619D45978E5AFB7D15ABC04A_12</vt:lpwstr>
  </property>
</Properties>
</file>