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黑体"/>
          <w:kern w:val="0"/>
          <w:sz w:val="32"/>
          <w:szCs w:val="32"/>
          <w:lang w:val="en-US" w:eastAsia="zh-CN"/>
        </w:rPr>
      </w:pPr>
      <w:r>
        <w:rPr>
          <w:rFonts w:eastAsia="黑体"/>
          <w:kern w:val="0"/>
          <w:sz w:val="32"/>
          <w:szCs w:val="32"/>
        </w:rPr>
        <w:t>附件</w:t>
      </w:r>
      <w:r>
        <w:rPr>
          <w:rFonts w:hint="eastAsia" w:eastAsia="黑体"/>
          <w:kern w:val="0"/>
          <w:sz w:val="32"/>
          <w:szCs w:val="32"/>
          <w:lang w:val="en-US" w:eastAsia="zh-CN"/>
        </w:rPr>
        <w:t>5</w:t>
      </w:r>
    </w:p>
    <w:p>
      <w:pPr>
        <w:pStyle w:val="2"/>
        <w:bidi w:val="0"/>
        <w:jc w:val="center"/>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2023年度沅江市文化市场综合行政执法大队项目支出绩效自评报告</w:t>
      </w:r>
    </w:p>
    <w:p>
      <w:pPr>
        <w:jc w:val="center"/>
        <w:rPr>
          <w:rFonts w:hint="default" w:eastAsia="方正小标宋_GBK"/>
          <w:sz w:val="48"/>
          <w:szCs w:val="48"/>
          <w:lang w:val="en-US" w:eastAsia="zh-CN"/>
        </w:rPr>
      </w:pPr>
      <w:r>
        <w:rPr>
          <w:rFonts w:hint="default" w:eastAsia="方正小标宋_GBK"/>
          <w:sz w:val="48"/>
          <w:szCs w:val="48"/>
          <w:lang w:val="en-US" w:eastAsia="zh-CN"/>
        </w:rPr>
        <w:t> </w:t>
      </w:r>
    </w:p>
    <w:p>
      <w:pPr>
        <w:tabs>
          <w:tab w:val="left" w:pos="1603"/>
        </w:tabs>
        <w:bidi w:val="0"/>
        <w:jc w:val="left"/>
        <w:rPr>
          <w:rFonts w:hint="default"/>
          <w:lang w:val="en-US" w:eastAsia="zh-CN"/>
        </w:rPr>
      </w:pPr>
      <w:r>
        <w:rPr>
          <w:rFonts w:hint="default"/>
          <w:lang w:val="en-US" w:eastAsia="zh-CN"/>
        </w:rPr>
        <w:t> </w:t>
      </w:r>
    </w:p>
    <w:p>
      <w:pPr>
        <w:tabs>
          <w:tab w:val="left" w:pos="1603"/>
        </w:tabs>
        <w:bidi w:val="0"/>
        <w:jc w:val="left"/>
        <w:rPr>
          <w:rFonts w:hint="default"/>
          <w:lang w:val="en-US" w:eastAsia="zh-CN"/>
        </w:rPr>
      </w:pPr>
    </w:p>
    <w:p>
      <w:pPr>
        <w:tabs>
          <w:tab w:val="left" w:pos="1603"/>
        </w:tabs>
        <w:bidi w:val="0"/>
        <w:jc w:val="left"/>
        <w:rPr>
          <w:rFonts w:hint="default"/>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both"/>
        <w:rPr>
          <w:rFonts w:hint="default" w:eastAsia="黑体"/>
          <w:sz w:val="36"/>
          <w:szCs w:val="36"/>
          <w:lang w:val="en-US" w:eastAsia="zh-CN"/>
        </w:rPr>
      </w:pPr>
    </w:p>
    <w:p>
      <w:pPr>
        <w:ind w:firstLine="720" w:firstLineChars="200"/>
        <w:jc w:val="center"/>
        <w:rPr>
          <w:rFonts w:hint="default" w:eastAsia="黑体"/>
          <w:sz w:val="36"/>
          <w:szCs w:val="36"/>
          <w:lang w:val="en-US" w:eastAsia="zh-CN"/>
        </w:rPr>
      </w:pPr>
      <w:r>
        <w:rPr>
          <w:rFonts w:hint="eastAsia" w:eastAsia="黑体"/>
          <w:sz w:val="36"/>
          <w:szCs w:val="36"/>
          <w:lang w:val="en-US" w:eastAsia="zh-CN"/>
        </w:rPr>
        <w:t xml:space="preserve">  </w:t>
      </w:r>
      <w:r>
        <w:rPr>
          <w:rFonts w:hint="default" w:eastAsia="黑体"/>
          <w:sz w:val="36"/>
          <w:szCs w:val="36"/>
          <w:lang w:val="en-US" w:eastAsia="zh-CN"/>
        </w:rPr>
        <w:t>部门（单位）名称：（盖章）      </w:t>
      </w:r>
    </w:p>
    <w:p>
      <w:pPr>
        <w:ind w:firstLine="2520" w:firstLineChars="700"/>
        <w:jc w:val="both"/>
        <w:rPr>
          <w:rFonts w:hint="default" w:eastAsia="黑体"/>
          <w:sz w:val="36"/>
          <w:szCs w:val="36"/>
          <w:lang w:val="en-US" w:eastAsia="zh-CN"/>
        </w:rPr>
      </w:pPr>
    </w:p>
    <w:p>
      <w:pPr>
        <w:ind w:firstLine="2160" w:firstLineChars="600"/>
        <w:jc w:val="both"/>
        <w:rPr>
          <w:rFonts w:hint="default" w:eastAsia="黑体"/>
          <w:sz w:val="36"/>
          <w:szCs w:val="36"/>
          <w:lang w:val="en-US" w:eastAsia="zh-CN"/>
        </w:rPr>
      </w:pPr>
      <w:r>
        <w:rPr>
          <w:rFonts w:hint="eastAsia" w:eastAsia="黑体"/>
          <w:sz w:val="36"/>
          <w:szCs w:val="36"/>
          <w:lang w:val="en-US" w:eastAsia="zh-CN"/>
        </w:rPr>
        <w:t>2024</w:t>
      </w:r>
      <w:r>
        <w:rPr>
          <w:rFonts w:hint="default" w:eastAsia="黑体"/>
          <w:sz w:val="36"/>
          <w:szCs w:val="36"/>
          <w:lang w:val="en-US" w:eastAsia="zh-CN"/>
        </w:rPr>
        <w:t xml:space="preserve">年 </w:t>
      </w:r>
      <w:r>
        <w:rPr>
          <w:rFonts w:hint="eastAsia" w:eastAsia="黑体"/>
          <w:sz w:val="36"/>
          <w:szCs w:val="36"/>
          <w:lang w:val="en-US" w:eastAsia="zh-CN"/>
        </w:rPr>
        <w:t>5</w:t>
      </w:r>
      <w:r>
        <w:rPr>
          <w:rFonts w:hint="default" w:eastAsia="黑体"/>
          <w:sz w:val="36"/>
          <w:szCs w:val="36"/>
          <w:lang w:val="en-US" w:eastAsia="zh-CN"/>
        </w:rPr>
        <w:t xml:space="preserve"> 月 </w:t>
      </w:r>
      <w:r>
        <w:rPr>
          <w:rFonts w:hint="eastAsia" w:eastAsia="黑体"/>
          <w:sz w:val="36"/>
          <w:szCs w:val="36"/>
          <w:lang w:val="en-US" w:eastAsia="zh-CN"/>
        </w:rPr>
        <w:t>10</w:t>
      </w:r>
      <w:r>
        <w:rPr>
          <w:rFonts w:hint="default" w:eastAsia="黑体"/>
          <w:sz w:val="36"/>
          <w:szCs w:val="36"/>
          <w:lang w:val="en-US" w:eastAsia="zh-CN"/>
        </w:rPr>
        <w:t> 日</w:t>
      </w:r>
    </w:p>
    <w:p>
      <w:pPr>
        <w:ind w:firstLine="720" w:firstLineChars="200"/>
        <w:jc w:val="both"/>
        <w:rPr>
          <w:rFonts w:hint="default" w:eastAsia="黑体"/>
          <w:sz w:val="36"/>
          <w:szCs w:val="36"/>
          <w:lang w:val="en-US" w:eastAsia="zh-CN"/>
        </w:rPr>
      </w:pPr>
    </w:p>
    <w:p>
      <w:pPr>
        <w:jc w:val="center"/>
        <w:rPr>
          <w:rFonts w:hint="default" w:eastAsia="仿宋_GB2312"/>
          <w:sz w:val="32"/>
          <w:szCs w:val="32"/>
          <w:lang w:val="en-US" w:eastAsia="zh-CN"/>
        </w:rPr>
      </w:pPr>
    </w:p>
    <w:p>
      <w:pPr>
        <w:jc w:val="center"/>
        <w:rPr>
          <w:rFonts w:hint="default" w:eastAsia="仿宋_GB2312"/>
          <w:sz w:val="32"/>
          <w:szCs w:val="32"/>
          <w:lang w:val="en-US" w:eastAsia="zh-CN"/>
        </w:rPr>
      </w:pPr>
    </w:p>
    <w:p>
      <w:pPr>
        <w:jc w:val="center"/>
        <w:rPr>
          <w:rFonts w:hint="default" w:eastAsia="仿宋_GB2312"/>
          <w:sz w:val="32"/>
          <w:szCs w:val="32"/>
          <w:lang w:val="en-US" w:eastAsia="zh-CN"/>
        </w:rPr>
      </w:pPr>
    </w:p>
    <w:p>
      <w:pPr>
        <w:spacing w:line="60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2023年度沅江市文化市场综合行政执法大队项目支出绩效评价报告</w:t>
      </w:r>
    </w:p>
    <w:p>
      <w:pPr>
        <w:spacing w:line="600" w:lineRule="exact"/>
        <w:ind w:firstLine="880" w:firstLineChars="200"/>
        <w:jc w:val="center"/>
        <w:rPr>
          <w:rFonts w:hint="default" w:eastAsia="黑体"/>
          <w:sz w:val="44"/>
          <w:szCs w:val="44"/>
          <w:lang w:val="en-US" w:eastAsia="zh-CN"/>
        </w:rPr>
      </w:pPr>
      <w:r>
        <w:rPr>
          <w:rFonts w:hint="default" w:eastAsia="黑体"/>
          <w:sz w:val="44"/>
          <w:szCs w:val="44"/>
          <w:lang w:val="en-US" w:eastAsia="zh-CN"/>
        </w:rPr>
        <w:t> </w:t>
      </w:r>
    </w:p>
    <w:p>
      <w:pPr>
        <w:spacing w:line="600" w:lineRule="exact"/>
        <w:ind w:firstLine="640" w:firstLineChars="200"/>
        <w:rPr>
          <w:rFonts w:hint="default" w:eastAsia="黑体"/>
          <w:sz w:val="32"/>
          <w:szCs w:val="32"/>
          <w:lang w:val="en-US" w:eastAsia="zh-CN"/>
        </w:rPr>
      </w:pPr>
      <w:r>
        <w:rPr>
          <w:rFonts w:hint="default" w:eastAsia="黑体"/>
          <w:sz w:val="32"/>
          <w:szCs w:val="32"/>
          <w:lang w:val="en-US" w:eastAsia="zh-CN"/>
        </w:rPr>
        <w:t>一、项目支出基本情况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w:t>
      </w:r>
      <w:r>
        <w:rPr>
          <w:rFonts w:hint="eastAsia" w:ascii="仿宋_GB2312" w:hAnsi="仿宋_GB2312" w:eastAsia="仿宋_GB2312" w:cs="仿宋_GB2312"/>
          <w:b/>
          <w:bCs/>
          <w:kern w:val="2"/>
          <w:sz w:val="32"/>
          <w:szCs w:val="32"/>
          <w:lang w:val="en-US" w:eastAsia="zh-CN" w:bidi="ar-SA"/>
        </w:rPr>
        <w:t>一）项目支出概况。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left"/>
        <w:textAlignment w:val="center"/>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2023年项目支出36万元，</w:t>
      </w:r>
      <w:r>
        <w:rPr>
          <w:rFonts w:hint="eastAsia" w:ascii="仿宋_GB2312" w:hAnsi="仿宋_GB2312" w:eastAsia="仿宋_GB2312" w:cs="仿宋_GB2312"/>
          <w:kern w:val="2"/>
          <w:sz w:val="32"/>
          <w:szCs w:val="32"/>
          <w:lang w:val="en-US" w:eastAsia="zh-CN" w:bidi="ar-SA"/>
        </w:rPr>
        <w:t>主要包括：扫黄打非专项经费8万元，用于开展“扫黄打非”专项行动，全面清理非法有害出版物及信息，严厉打击侵权盗版行为，保护知识产权；文化执法工作经费14万元，用于全市文化市场综合行政执法工作日常执法办案支出 ；文物执法工作经费4万元，用于文物保护工作支出。高危体育执法（游泳池+防溺水）2万元，用于查处高危体育经营活动及防溺水宣传工作支出。旅游市场执法8万元，主要用于打击“不合理低价游”、“未经许可经营旅行社业务”、“利用网络平台进行虚假宣传、低价招徕行为”支出。</w:t>
      </w:r>
    </w:p>
    <w:p>
      <w:pPr>
        <w:numPr>
          <w:ilvl w:val="0"/>
          <w:numId w:val="1"/>
        </w:numPr>
        <w:spacing w:line="600" w:lineRule="exact"/>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项目资金使用管理情况。</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55"/>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项目资金收入36万元，支出36万元，全部为财政资金，资金到位率100％，实际使用率100％。根据项目资金实际使用情况，对项目资金开展绩效自评，在资金使用上，我单位严格执行项目资金管理制度，实行专款专用，无挪用项目资金问题。</w:t>
      </w:r>
    </w:p>
    <w:p>
      <w:pPr>
        <w:numPr>
          <w:ilvl w:val="0"/>
          <w:numId w:val="0"/>
        </w:numPr>
        <w:spacing w:line="600" w:lineRule="exact"/>
        <w:rPr>
          <w:rFonts w:hint="eastAsia" w:ascii="方正楷体_GBK" w:hAnsi="方正楷体_GBK" w:eastAsia="方正楷体_GBK" w:cs="方正楷体_GBK"/>
          <w:sz w:val="32"/>
          <w:szCs w:val="32"/>
          <w:lang w:val="en-US" w:eastAsia="zh-CN"/>
        </w:rPr>
      </w:pPr>
    </w:p>
    <w:p>
      <w:pPr>
        <w:numPr>
          <w:ilvl w:val="0"/>
          <w:numId w:val="1"/>
        </w:numPr>
        <w:spacing w:line="600" w:lineRule="exact"/>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项目支出绩效目标完成程度。</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kern w:val="2"/>
          <w:sz w:val="32"/>
          <w:szCs w:val="32"/>
          <w:lang w:val="en-US" w:eastAsia="zh-CN" w:bidi="ar-SA"/>
        </w:rPr>
        <w:t>023年，我单位项目绩效为扫黄打非专项工作经费、文化执法工作经费、文物执法工作经费、高危体育执法（游泳池+防溺水）、旅游市场执法，</w:t>
      </w:r>
      <w:r>
        <w:rPr>
          <w:rFonts w:hint="eastAsia" w:ascii="仿宋_GB2312" w:hAnsi="仿宋_GB2312" w:eastAsia="仿宋_GB2312" w:cs="仿宋_GB2312"/>
          <w:color w:val="333333"/>
          <w:sz w:val="32"/>
          <w:szCs w:val="32"/>
          <w:lang w:val="en-US" w:eastAsia="zh-CN"/>
        </w:rPr>
        <w:t>，从绩效预期目标、项目组织实施、项目资金使用及管理等情况进行了全面跟踪，较好完成项目绩效目标任务。从项目实施经费使用情况来看，本项目资金安排是合理可行的，在实施此项目过程中做到能省就省，绝不乱用，有效控制项目成本，提高资金使用率；本年度，积极高效完成了项目实施，在经济效益上，规范了全市文化市场管理秩序，为全市的经济增长做出了一定的贡献，带来可观的经济效益；在社会效益上，扫除各类文化垃圾，积极营造风清气正的社会文化环境。</w:t>
      </w:r>
    </w:p>
    <w:p>
      <w:pPr>
        <w:numPr>
          <w:ilvl w:val="0"/>
          <w:numId w:val="0"/>
        </w:numPr>
        <w:spacing w:line="600" w:lineRule="exact"/>
        <w:ind w:leftChars="200"/>
        <w:rPr>
          <w:rFonts w:hint="eastAsia" w:ascii="仿宋_GB2312" w:hAnsi="仿宋_GB2312" w:eastAsia="仿宋_GB2312" w:cs="仿宋_GB2312"/>
          <w:color w:val="333333"/>
          <w:sz w:val="32"/>
          <w:szCs w:val="32"/>
          <w:lang w:val="en-US" w:eastAsia="zh-CN"/>
        </w:rPr>
      </w:pP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eastAsia="黑体"/>
          <w:sz w:val="32"/>
          <w:szCs w:val="32"/>
          <w:lang w:val="en-US" w:eastAsia="zh-CN"/>
        </w:rPr>
        <w:t>二、</w:t>
      </w:r>
      <w:r>
        <w:rPr>
          <w:rFonts w:hint="default" w:eastAsia="黑体"/>
          <w:sz w:val="32"/>
          <w:szCs w:val="32"/>
          <w:lang w:val="en-US" w:eastAsia="zh-CN"/>
        </w:rPr>
        <w:t>绩效评价工作</w:t>
      </w:r>
      <w:r>
        <w:rPr>
          <w:rFonts w:hint="eastAsia" w:eastAsia="黑体"/>
          <w:sz w:val="32"/>
          <w:szCs w:val="32"/>
          <w:lang w:val="en-US" w:eastAsia="zh-CN"/>
        </w:rPr>
        <w:t>开展</w:t>
      </w:r>
      <w:r>
        <w:rPr>
          <w:rFonts w:hint="default" w:eastAsia="黑体"/>
          <w:sz w:val="32"/>
          <w:szCs w:val="32"/>
          <w:lang w:val="en-US" w:eastAsia="zh-CN"/>
        </w:rPr>
        <w:t>情况</w:t>
      </w:r>
    </w:p>
    <w:p>
      <w:pPr>
        <w:numPr>
          <w:ilvl w:val="0"/>
          <w:numId w:val="2"/>
        </w:numPr>
        <w:spacing w:line="600" w:lineRule="exact"/>
        <w:ind w:firstLine="643" w:firstLineChars="200"/>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评价指标体系 (附表说明)、评价方法。</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1、项目评价主要从投入（项目立项、资金落实)。过程（业务管理方面：管理制度、制度执行、规范答理 财务管理方面：管理制度、资金分配办法、 分配结果、资金使用、财务管理)。产出（任务完成率、任务达标率、完成及时率)、效果（社会效益、可持续影响、服务对象满意度） 几大方面进行评价。</w:t>
      </w:r>
    </w:p>
    <w:p>
      <w:pPr>
        <w:numPr>
          <w:ilvl w:val="0"/>
          <w:numId w:val="0"/>
        </w:numPr>
        <w:spacing w:line="600" w:lineRule="exact"/>
        <w:ind w:leftChars="200" w:firstLine="320" w:firstLineChars="1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2、评价方法：自评.</w:t>
      </w:r>
    </w:p>
    <w:p>
      <w:pPr>
        <w:numPr>
          <w:ilvl w:val="0"/>
          <w:numId w:val="0"/>
        </w:numPr>
        <w:spacing w:line="600" w:lineRule="exact"/>
        <w:ind w:leftChars="200"/>
        <w:rPr>
          <w:rFonts w:hint="eastAsia" w:ascii="仿宋_GB2312" w:hAnsi="仿宋_GB2312" w:eastAsia="仿宋_GB2312" w:cs="仿宋_GB2312"/>
          <w:b/>
          <w:bCs/>
          <w:color w:val="333333"/>
          <w:sz w:val="32"/>
          <w:szCs w:val="32"/>
          <w:lang w:val="en-US" w:eastAsia="zh-CN"/>
        </w:rPr>
      </w:pPr>
      <w:r>
        <w:rPr>
          <w:rFonts w:hint="eastAsia" w:ascii="仿宋_GB2312" w:hAnsi="仿宋_GB2312" w:eastAsia="仿宋_GB2312" w:cs="仿宋_GB2312"/>
          <w:b/>
          <w:bCs/>
          <w:color w:val="333333"/>
          <w:sz w:val="32"/>
          <w:szCs w:val="32"/>
          <w:lang w:val="en-US" w:eastAsia="zh-CN"/>
        </w:rPr>
        <w:t>(二）绩效评价工作过程</w:t>
      </w:r>
    </w:p>
    <w:p>
      <w:pPr>
        <w:numPr>
          <w:ilvl w:val="0"/>
          <w:numId w:val="0"/>
        </w:numPr>
        <w:spacing w:line="600" w:lineRule="exact"/>
        <w:ind w:left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1、 前期准备。</w:t>
      </w:r>
    </w:p>
    <w:p>
      <w:pPr>
        <w:numPr>
          <w:ilvl w:val="0"/>
          <w:numId w:val="0"/>
        </w:numPr>
        <w:spacing w:line="600" w:lineRule="exact"/>
        <w:ind w:left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（1）成立评价领导小组：</w:t>
      </w:r>
    </w:p>
    <w:p>
      <w:pPr>
        <w:numPr>
          <w:ilvl w:val="0"/>
          <w:numId w:val="0"/>
        </w:numPr>
        <w:spacing w:line="600" w:lineRule="exact"/>
        <w:ind w:left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组长：全面负责项目经费使用工作的领导和管理。</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副组长：严格执行和落实 《项目经费管理制度》，负责项目经费使用的监督管理。</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组员：做好项目经费开支台帐和实施过程中的痕迹资料；做好专项资金的拨付、汇总、上报、结算；配合领导小组负责项目经费管理工作的督查，协助开展工作。</w:t>
      </w:r>
    </w:p>
    <w:p>
      <w:pPr>
        <w:numPr>
          <w:ilvl w:val="0"/>
          <w:numId w:val="0"/>
        </w:numPr>
        <w:spacing w:line="600" w:lineRule="exact"/>
        <w:ind w:left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（2）前期管理工作。</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为能更有效的做好项目经费管理工作，我单位对该项工作做了相关要求：</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①认真履行报账制度，力求资金的规范使用，无挪用、挤占截留等现象的发生。严格财经审批手续。所有报销发票，力求做到手续完备，附件规范齐全，每张发票注明用途，有经手人签宇，都经过分管领导审核签字后才能报销。</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②重大项目开支都由单位领导班子集体讨论决定，成立了项目经费使用审核领导小组和监督小组，在经费的管理使用过程中，严格按照规定做到收有凭付有据，所有项目经费的管理使用实行公开，凡属上千元的开支均在班子会上通过，当年结束后将本期的收支情况向单位公布，接受全体干职工的监督和主管部门的核查。对大宗物资的采购都要通过班子会并由两人以上进行采购。</w:t>
      </w:r>
    </w:p>
    <w:p>
      <w:pPr>
        <w:numPr>
          <w:ilvl w:val="0"/>
          <w:numId w:val="3"/>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组织实施，开展评价。</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（1）建立健全评价制度和评价办法；（2) 组织实施评价；（3）评价资料归档。</w:t>
      </w:r>
    </w:p>
    <w:p>
      <w:pPr>
        <w:numPr>
          <w:ilvl w:val="0"/>
          <w:numId w:val="0"/>
        </w:numPr>
        <w:spacing w:line="600" w:lineRule="exact"/>
        <w:ind w:leftChars="200"/>
        <w:rPr>
          <w:rFonts w:hint="eastAsia" w:ascii="仿宋_GB2312" w:hAnsi="仿宋_GB2312" w:eastAsia="仿宋_GB2312" w:cs="仿宋_GB2312"/>
          <w:color w:val="333333"/>
          <w:sz w:val="32"/>
          <w:szCs w:val="32"/>
          <w:lang w:val="en-US" w:eastAsia="zh-CN"/>
        </w:rPr>
      </w:pPr>
    </w:p>
    <w:p>
      <w:pPr>
        <w:numPr>
          <w:ilvl w:val="0"/>
          <w:numId w:val="0"/>
        </w:numPr>
        <w:spacing w:line="600" w:lineRule="exact"/>
        <w:ind w:left="840" w:leftChars="0"/>
        <w:rPr>
          <w:rFonts w:hint="eastAsia" w:eastAsia="黑体"/>
          <w:sz w:val="32"/>
          <w:szCs w:val="32"/>
          <w:lang w:val="en-US" w:eastAsia="zh-CN"/>
        </w:rPr>
      </w:pPr>
      <w:r>
        <w:rPr>
          <w:rFonts w:hint="eastAsia" w:eastAsia="黑体"/>
          <w:sz w:val="32"/>
          <w:szCs w:val="32"/>
          <w:lang w:val="en-US" w:eastAsia="zh-CN"/>
        </w:rPr>
        <w:t>三、</w:t>
      </w:r>
      <w:r>
        <w:rPr>
          <w:rFonts w:hint="default" w:eastAsia="黑体"/>
          <w:sz w:val="32"/>
          <w:szCs w:val="32"/>
          <w:lang w:val="en-US" w:eastAsia="zh-CN"/>
        </w:rPr>
        <w:t>项目支出主要绩效及评价结论</w:t>
      </w:r>
      <w:r>
        <w:rPr>
          <w:rFonts w:hint="eastAsia" w:eastAsia="黑体"/>
          <w:sz w:val="32"/>
          <w:szCs w:val="32"/>
          <w:lang w:val="en-US" w:eastAsia="zh-CN"/>
        </w:rPr>
        <w:t>。</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综合评价，该项目绩效评价得分为97分，综合评价定性为优。</w:t>
      </w:r>
    </w:p>
    <w:p>
      <w:pPr>
        <w:spacing w:line="240" w:lineRule="auto"/>
        <w:ind w:firstLine="640"/>
        <w:rPr>
          <w:rFonts w:hint="eastAsia" w:ascii="仿宋_GB2312" w:hAnsi="仿宋_GB2312" w:eastAsia="仿宋_GB2312" w:cs="仿宋_GB2312"/>
          <w:sz w:val="32"/>
          <w:szCs w:val="32"/>
          <w:lang w:val="en-US" w:eastAsia="zh-CN"/>
        </w:rPr>
      </w:pPr>
    </w:p>
    <w:p>
      <w:pPr>
        <w:numPr>
          <w:ilvl w:val="0"/>
          <w:numId w:val="0"/>
        </w:numPr>
        <w:spacing w:line="600" w:lineRule="exact"/>
        <w:ind w:firstLine="640" w:firstLineChars="200"/>
        <w:rPr>
          <w:rFonts w:hint="default" w:eastAsia="黑体"/>
          <w:sz w:val="32"/>
          <w:szCs w:val="32"/>
          <w:lang w:val="en-US" w:eastAsia="zh-CN"/>
        </w:rPr>
      </w:pPr>
      <w:r>
        <w:rPr>
          <w:rFonts w:hint="default" w:eastAsia="黑体"/>
          <w:sz w:val="32"/>
          <w:szCs w:val="32"/>
          <w:lang w:val="en-US" w:eastAsia="zh-CN"/>
        </w:rPr>
        <w:t>四、绩效评价指标分析</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（一）项目支出决策情况</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1、根据文化旅游广电体育局部门预算要求，结合单位实际需求，编制年度项目支出预算。包括对项目的支出进行预测和规划，以确保资金的合理分配。</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2、在制定项目支出计划时，需要对各个项目进行审批。项目经费支出严格实行分管领导负责下的审批制度。</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（二）项目执行过程情况</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严格执行国家和省市区有关专项经费开支的范围和标准，经费支出规范、合理，无虚列、虛报冒领和挤占挪用的现象。为进一步规范专项经费的使用管理，我馆使用《湖南省财政一体化支付系统》进行财务核算，并对博物馆专项经费拨付、财务收支、会计核算等过程实行全程监管。实行国库集中收付制度，开设零余额帐户，每月由博物馆提出用款申请，财政局同意后，资金由国库收付中心直接支付或单位通过零余额帐户授权支付。设备采购和购买服务等重大项目支出情况，在公示栏进行公示，主动接受全体干职工和群众的监督。成立民主理财小组，小组成员主要由干职工代表组成，参与预算编制、支出审核等相关财务事项的事前、事中及事后监督，确保资金安全、合规、合理。</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（三）项目支出产出情况</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1.财务管理规范有序。坚持以服务人民群众为中心，以保障各项工作任务顺利开展为重点，为单位日常运转提供有力保障，使各项业务工作水平不断提升</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加强培训宣传，提高法治氛围。2023年，大队分别举办了网吧、KTV娱乐场所、演出团体、新闻出版、体育等行业的法制培训，明确告知其2023年大队市场管理重点、办案方向，以及处罚额度等，并将相关法律法规裁量基准印发给各市场业主。</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3.提高办案质量，提升执法公信力。2023年，大队办理处罚案件31件，一般程序案件16件，从轻处罚案件15件，开具责令整改书14份，没有一例引起行政复议与行政诉讼。在执法过程中，全面落实《沅江市全面推行行政执法公示制度执法全过程记录制度重大执法决定法制审核制度的实施方案》（沅政办发〔2019〕28号），通过文字、音像对执法全过程进行记录，结案后在沅江市文化旅游广电体育局网页、“互联网+”监管平台、企业信用平台、两法衔接平台等予以公示。取证注重客观性、真实性，运用注重关联性，行政处罚案件全部由沅江市文旅广体局政策法规股规审核把关。</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4.转变思维观念，规范市场秩序。培育市场，发展市场，执法者与管理对象是一致的。在向相关部门核实信息，与违法违规事实发生之间往往存在一定时间差，大队在获悉信息后，提前介入，一是督促市场主体补齐各项手续，合法合规经营，或者中止相关活动。在现实中，很多市场主体并没有违法的主观意愿，在违法违规事实发生前，及时提醒，建立良性互动，更有利于市场发展与繁荣。</w:t>
      </w:r>
    </w:p>
    <w:p>
      <w:pPr>
        <w:numPr>
          <w:ilvl w:val="0"/>
          <w:numId w:val="0"/>
        </w:numPr>
        <w:spacing w:line="600" w:lineRule="exact"/>
        <w:ind w:firstLine="640" w:firstLineChars="200"/>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5.加强协作交流，提高管理效能。2023年，通过与沅江市新闻出版局、沅江市市场监督管理局联合开展4次“扫黄打非”行动，2次“护苗”行动，维护了意识形态安全，为未成年人健康成长营造了良好的成长环境。3月，大队协助沅江市公安局侦办了沅江首例涉刑的文物案－沅江市莲花坳盗掘古文化遗址、古墓葬案。大队在涉案器物年代判断、鉴定、案发地勘探和保护，全力协助，与公安的协同中，提高了取证能力、文书笔录制作技巧，增强了市民文物保护意识，宣传了《文物保护法》，为文物执法营造了良好的社会环境氛围。暑假期间与沅江市公安局、沅江市市场监督管理局、沅江市卫生健康局、沅江市人力资源和社会保障局联合开展了KTV娱乐场所、网吧等联合执法行动，全面规范行业经营活动。9月份，大队与沅江市公安局网安大队、治安大队联合组织了对电竞酒店经营者的法制培训、执法检查活动。</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（四）项目支出效益情况</w:t>
      </w:r>
    </w:p>
    <w:p>
      <w:pPr>
        <w:numPr>
          <w:ilvl w:val="0"/>
          <w:numId w:val="0"/>
        </w:numPr>
        <w:spacing w:line="600" w:lineRule="exact"/>
        <w:ind w:firstLine="640" w:firstLineChars="200"/>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2023年，大队不断提升执法能力，推进行政执法工作高质量发展，促进营商环境的优化，筑牢文化安全防线，守住政治安全底线，推动文旅市场恢复与健康发展。荣获“2023年全省文化市场综合行政执法考评先进单位”。</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p>
    <w:p>
      <w:pPr>
        <w:numPr>
          <w:ilvl w:val="0"/>
          <w:numId w:val="0"/>
        </w:numPr>
        <w:spacing w:line="600" w:lineRule="exact"/>
        <w:ind w:firstLine="640" w:firstLineChars="200"/>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五、主要经验及做法、存在的问题及原因分析</w:t>
      </w:r>
    </w:p>
    <w:p>
      <w:pPr>
        <w:numPr>
          <w:ilvl w:val="0"/>
          <w:numId w:val="0"/>
        </w:numPr>
        <w:spacing w:line="600" w:lineRule="exact"/>
        <w:ind w:firstLine="640" w:firstLineChars="200"/>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1、预算编制在科学性、合理性上存在欠缺。年初财政预算部门核定的指标控制数，不能满足单位填报的计划开支需要。2023年年初预算单位专项共五个项目合计48万元，因为财政形势紧张，年底压减单位专项20%，导致单位专项削减为36万元。</w:t>
      </w:r>
      <w:bookmarkStart w:id="0" w:name="_GoBack"/>
      <w:bookmarkEnd w:id="0"/>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2、绩效指标明确性方面，部分绩效指标的设置方面还存在不够清晰、可衡量的问题，不便于开展量化评价。</w:t>
      </w:r>
    </w:p>
    <w:p>
      <w:pPr>
        <w:numPr>
          <w:ilvl w:val="0"/>
          <w:numId w:val="0"/>
        </w:numPr>
        <w:spacing w:line="600" w:lineRule="exact"/>
        <w:ind w:firstLine="640" w:firstLineChars="200"/>
        <w:rPr>
          <w:rFonts w:hint="eastAsia" w:ascii="黑体" w:hAnsi="黑体" w:eastAsia="黑体" w:cs="黑体"/>
          <w:color w:val="333333"/>
          <w:sz w:val="32"/>
          <w:szCs w:val="32"/>
          <w:lang w:val="en-US" w:eastAsia="zh-CN"/>
        </w:rPr>
      </w:pPr>
    </w:p>
    <w:p>
      <w:pPr>
        <w:numPr>
          <w:ilvl w:val="0"/>
          <w:numId w:val="0"/>
        </w:numPr>
        <w:spacing w:line="600" w:lineRule="exact"/>
        <w:ind w:firstLine="640" w:firstLineChars="200"/>
        <w:rPr>
          <w:rFonts w:hint="default" w:ascii="仿宋_GB2312" w:hAnsi="仿宋_GB2312" w:eastAsia="仿宋_GB2312" w:cs="仿宋_GB2312"/>
          <w:b w:val="0"/>
          <w:bCs w:val="0"/>
          <w:color w:val="333333"/>
          <w:sz w:val="32"/>
          <w:szCs w:val="32"/>
          <w:lang w:val="en-US" w:eastAsia="zh-CN"/>
        </w:rPr>
      </w:pPr>
      <w:r>
        <w:rPr>
          <w:rFonts w:hint="eastAsia" w:ascii="黑体" w:hAnsi="黑体" w:eastAsia="黑体" w:cs="黑体"/>
          <w:b w:val="0"/>
          <w:bCs w:val="0"/>
          <w:color w:val="333333"/>
          <w:sz w:val="32"/>
          <w:szCs w:val="32"/>
          <w:lang w:val="en-US" w:eastAsia="zh-CN"/>
        </w:rPr>
        <w:t>六、有关建议</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（一）建议从政策层面研究制定办法，加大对考古研究发现堪验保护专项工作的资金投入。</w:t>
      </w:r>
    </w:p>
    <w:p>
      <w:pPr>
        <w:numPr>
          <w:ilvl w:val="0"/>
          <w:numId w:val="0"/>
        </w:numPr>
        <w:spacing w:line="60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（二）建议各级部门，特别是文化旅游广电体育局、财政局加强对单位各项业务培训工作的管理，切实提高单位干职工的业务水平和工作能力。</w:t>
      </w:r>
    </w:p>
    <w:p>
      <w:pPr>
        <w:numPr>
          <w:ilvl w:val="0"/>
          <w:numId w:val="0"/>
        </w:numPr>
        <w:spacing w:line="600" w:lineRule="exact"/>
        <w:ind w:firstLine="640" w:firstLineChars="200"/>
        <w:rPr>
          <w:rFonts w:hint="default" w:ascii="仿宋_GB2312" w:hAnsi="仿宋_GB2312" w:eastAsia="仿宋_GB2312" w:cs="仿宋_GB2312"/>
          <w:color w:val="333333"/>
          <w:sz w:val="32"/>
          <w:szCs w:val="32"/>
          <w:lang w:val="en-US" w:eastAsia="zh-CN"/>
        </w:rPr>
      </w:pPr>
    </w:p>
    <w:p>
      <w:pPr>
        <w:numPr>
          <w:ilvl w:val="0"/>
          <w:numId w:val="0"/>
        </w:numPr>
        <w:spacing w:line="600" w:lineRule="exact"/>
        <w:ind w:firstLine="640" w:firstLineChars="200"/>
        <w:rPr>
          <w:rFonts w:hint="eastAsia" w:ascii="黑体" w:hAnsi="黑体" w:eastAsia="黑体" w:cs="黑体"/>
          <w:b w:val="0"/>
          <w:bCs w:val="0"/>
          <w:color w:val="333333"/>
          <w:sz w:val="32"/>
          <w:szCs w:val="32"/>
          <w:lang w:val="en-US" w:eastAsia="zh-CN"/>
        </w:rPr>
      </w:pPr>
      <w:r>
        <w:rPr>
          <w:rFonts w:hint="eastAsia" w:ascii="黑体" w:hAnsi="黑体" w:eastAsia="黑体" w:cs="黑体"/>
          <w:b w:val="0"/>
          <w:bCs w:val="0"/>
          <w:color w:val="333333"/>
          <w:sz w:val="32"/>
          <w:szCs w:val="32"/>
          <w:lang w:val="en-US" w:eastAsia="zh-CN"/>
        </w:rPr>
        <w:t>七、其他需要说明的问题</w:t>
      </w:r>
    </w:p>
    <w:p>
      <w:pPr>
        <w:numPr>
          <w:ilvl w:val="0"/>
          <w:numId w:val="0"/>
        </w:numPr>
        <w:spacing w:line="600" w:lineRule="exact"/>
        <w:ind w:firstLine="640" w:firstLineChars="200"/>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无</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65766"/>
    <w:multiLevelType w:val="singleLevel"/>
    <w:tmpl w:val="CBB65766"/>
    <w:lvl w:ilvl="0" w:tentative="0">
      <w:start w:val="1"/>
      <w:numFmt w:val="chineseCounting"/>
      <w:suff w:val="nothing"/>
      <w:lvlText w:val="（%1）"/>
      <w:lvlJc w:val="left"/>
      <w:rPr>
        <w:rFonts w:hint="eastAsia"/>
      </w:rPr>
    </w:lvl>
  </w:abstractNum>
  <w:abstractNum w:abstractNumId="1">
    <w:nsid w:val="0A37C54B"/>
    <w:multiLevelType w:val="singleLevel"/>
    <w:tmpl w:val="0A37C54B"/>
    <w:lvl w:ilvl="0" w:tentative="0">
      <w:start w:val="2"/>
      <w:numFmt w:val="chineseCounting"/>
      <w:suff w:val="nothing"/>
      <w:lvlText w:val="（%1）"/>
      <w:lvlJc w:val="left"/>
      <w:rPr>
        <w:rFonts w:hint="eastAsia"/>
      </w:rPr>
    </w:lvl>
  </w:abstractNum>
  <w:abstractNum w:abstractNumId="2">
    <w:nsid w:val="3DD851BD"/>
    <w:multiLevelType w:val="singleLevel"/>
    <w:tmpl w:val="3DD851B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ZmMzMDhhZmI2Nzk4ZjdjZDgxM2M5YjllM2UzNTMifQ=="/>
  </w:docVars>
  <w:rsids>
    <w:rsidRoot w:val="1CA61E0F"/>
    <w:rsid w:val="066E57BB"/>
    <w:rsid w:val="07520E67"/>
    <w:rsid w:val="16087C3E"/>
    <w:rsid w:val="1CA61E0F"/>
    <w:rsid w:val="26A34BB6"/>
    <w:rsid w:val="2A5C36FA"/>
    <w:rsid w:val="3C885C16"/>
    <w:rsid w:val="4F697916"/>
    <w:rsid w:val="5DCF1EE8"/>
    <w:rsid w:val="7280340F"/>
    <w:rsid w:val="7A662BEF"/>
    <w:rsid w:val="7C923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spacing w:before="100" w:beforeAutospacing="1" w:after="100" w:afterAutospacing="1"/>
      <w:jc w:val="left"/>
    </w:pPr>
    <w:rPr>
      <w:kern w:val="0"/>
      <w:sz w:val="24"/>
      <w:szCs w:val="24"/>
    </w:rPr>
  </w:style>
  <w:style w:type="paragraph" w:customStyle="1" w:styleId="6">
    <w:name w:val="BodyText1I2"/>
    <w:basedOn w:val="7"/>
    <w:autoRedefine/>
    <w:qFormat/>
    <w:uiPriority w:val="0"/>
    <w:pPr>
      <w:ind w:firstLine="420"/>
    </w:pPr>
  </w:style>
  <w:style w:type="paragraph" w:customStyle="1" w:styleId="7">
    <w:name w:val="BodyTextIndent"/>
    <w:basedOn w:val="1"/>
    <w:autoRedefine/>
    <w:qFormat/>
    <w:uiPriority w:val="0"/>
    <w:pPr>
      <w:spacing w:after="120"/>
      <w:ind w:left="420" w:leftChars="200" w:firstLine="200" w:firstLineChars="200"/>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2024-05-10T01:23:00Z</dcterms:created>
  <dc:creator>Admin</dc:creator>
  <cp:lastModifiedBy>Admin</cp:lastModifiedBy>
  <dcterms:modified xsi:type="dcterms:W3CDTF">2024-05-13T13:32:35Z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B0CF3C550E0B422A8064E0094D274121_11</vt:lpwstr>
  </property>
</Properties>
</file>