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年度</w:t>
      </w:r>
    </w:p>
    <w:p>
      <w:pPr>
        <w:pStyle w:val="10"/>
        <w:jc w:val="center"/>
        <w:rPr>
          <w:rFonts w:hint="default" w:eastAsia="黑体"/>
          <w:sz w:val="84"/>
          <w:szCs w:val="84"/>
          <w:lang w:val="en-US" w:eastAsia="zh-CN"/>
        </w:rPr>
      </w:pPr>
      <w:r>
        <w:rPr>
          <w:rFonts w:hint="eastAsia"/>
          <w:sz w:val="84"/>
          <w:szCs w:val="84"/>
          <w:lang w:val="en-US" w:eastAsia="zh-CN"/>
        </w:rPr>
        <w:t>共青团沅江市委</w:t>
      </w:r>
      <w:r>
        <w:rPr>
          <w:rFonts w:hint="eastAsia"/>
          <w:sz w:val="84"/>
          <w:szCs w:val="84"/>
        </w:rPr>
        <w:t>部门决算</w:t>
      </w:r>
      <w:r>
        <w:rPr>
          <w:rFonts w:hint="eastAsia"/>
          <w:sz w:val="84"/>
          <w:szCs w:val="84"/>
          <w:lang w:val="en-US" w:eastAsia="zh-CN"/>
        </w:rPr>
        <w:t>公开及决算公示表</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共青团沅江市委</w:t>
      </w:r>
      <w:r>
        <w:rPr>
          <w:rFonts w:hint="eastAsia"/>
          <w:b/>
          <w:sz w:val="28"/>
          <w:szCs w:val="28"/>
        </w:rPr>
        <w:t>概况</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一、部门职责</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2022</w:t>
      </w:r>
      <w:r>
        <w:rPr>
          <w:rFonts w:hint="eastAsia" w:hAnsi="仿宋_GB2312"/>
          <w:b/>
          <w:sz w:val="28"/>
          <w:szCs w:val="28"/>
        </w:rPr>
        <w:t>年度部门决算表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一、收入支出决算总表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二、收入决算表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三、支出决算表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四、财政拨款收入支出决算总表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五、一般公共预算财政拨款支出决算表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六、一般公共预算财政拨款基本支出决算表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七、一般公共预算财政拨款“三公”经费支出决算表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八、政府性基金预算财政拨款收入支出决算表</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2022</w:t>
      </w:r>
      <w:r>
        <w:rPr>
          <w:rFonts w:hint="eastAsia" w:hAnsi="仿宋_GB2312"/>
          <w:b/>
          <w:sz w:val="28"/>
          <w:szCs w:val="28"/>
        </w:rPr>
        <w:t>年度部门决算情况说明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一、收入支出决算总体情况说明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二、收入决算情况说明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三、支出决算情况说明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四、财政拨款收入支出决算总体情况说明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五、一般公共预算财政拨款支出决算情况说明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六、一般公共预算财政拨款基本支出决算情况说明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七、一般公共预算财政拨款三公经费支出决算情况说明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八、政府性基金预算收入支出决算情况</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九、关于机关运行经费支出说明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十、一般性支出情况</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十一、关于政府采购支出说明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十二、关于国有资产占用情况说明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十三、关于</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lang w:val="en-US" w:eastAsia="zh-CN"/>
        </w:rPr>
        <w:t>共青团沅江市委</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仿宋_GB2312" w:hAnsi="仿宋_GB2312" w:eastAsia="仿宋_GB2312" w:cs="仿宋_GB2312"/>
          <w:sz w:val="32"/>
          <w:szCs w:val="32"/>
          <w:lang w:val="en-US" w:eastAsia="zh-CN"/>
        </w:rPr>
        <w:t>（</w:t>
      </w:r>
      <w:r>
        <w:rPr>
          <w:rFonts w:hint="eastAsia" w:ascii="方正仿宋简体" w:hAnsi="方正仿宋简体" w:eastAsia="方正仿宋简体" w:cs="方正仿宋简体"/>
          <w:sz w:val="32"/>
          <w:szCs w:val="32"/>
          <w:lang w:val="en-US" w:eastAsia="zh-CN"/>
        </w:rPr>
        <w:t>1）贯彻执行《中国共产主义青年团章程》，在全市团的代表大会闭会期间，执行代表大会的决议、领导全市团的工作;受市委的委托领导全市少先队工作;指导沅江市青年联合会开展工作。</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（2）教育和引导团员青年高举中国特色社会主义伟大旗帜，贯彻落实党的基本路线、方针、政策和决策部署。</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（3）高举爱国主义旗帜，维护和发展各族各界青年的团结友爱，推动本市青少年对外交流和合作。</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坚持党建带团建,把党的要求贯彻落实到团的建设,提高团的建设科学化水平，巩固团建工作基础，扩大团的有效覆盖，加强对相关社会组织的联系、服务和引导，完善青年组织体系，充分发挥党联系青年的桥梁和纽带作用。做好团组织推优入党工作，使推优工作逐步成为党组织发展青年党员的主要渠道,使共青团员成为党组织发展青年党员的主要来源。实施青年马克思主义者工程，培养中国特色社会主义事业的合格建设者和可靠接班人。</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（5）围绕市委、市政府中心工作，适应全市经济、政治、文化、社会、生态建设的需要，组织开展形式多样、适合青年特点的活动和工作，充分发挥青年的生力军和突击队作用。</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关心青少年的工作、学习和生活，围绕党政所需、青少年所急、共青团所能，切实服务青少年;参与有关青少年法规的起草、实施、监督等工作;积极保护青少年合法权益，有效预防青少年违法犯罪;承担市预防青少年违法犯罪工作领导小组办公室的日常工作。</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（7）加强网上共青团建设，综合运用互联网新技术实现对青少年的有效服务、联系和凝聚,加强对青少年的网上宣传教育。</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（8）调查研究青少年生存发展和青少年工作状况，向市委、市政府反映青少年的意见和要求，协助市政府管理青少年事务，积极参与社会主义协商民主建设。</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加强全市团干部队伍建设，推动选好配强各级团的领导班子;落实从严治团，强化团员和团干部教育管理,严格团干部考核监督;协助党组织管理、选拔和培训共青团干部;指导全市共青团组织协助有关部门开展青年人力资源开发工作。</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（10）完成市委、市政府交办的其他任务。</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（一）内设机构设置。</w:t>
      </w:r>
      <w:r>
        <w:rPr>
          <w:rFonts w:hint="eastAsia" w:ascii="方正仿宋简体" w:hAnsi="方正仿宋简体" w:eastAsia="方正仿宋简体" w:cs="方正仿宋简体"/>
          <w:sz w:val="32"/>
          <w:szCs w:val="32"/>
          <w:lang w:val="en-US" w:eastAsia="zh-CN"/>
        </w:rPr>
        <w:t>共青团沅江市委</w:t>
      </w:r>
      <w:r>
        <w:rPr>
          <w:rFonts w:hint="eastAsia" w:ascii="方正仿宋简体" w:hAnsi="方正仿宋简体" w:eastAsia="方正仿宋简体" w:cs="方正仿宋简体"/>
          <w:sz w:val="32"/>
          <w:szCs w:val="32"/>
          <w:lang w:eastAsia="zh-CN"/>
        </w:rPr>
        <w:t>核准行政编制</w:t>
      </w:r>
      <w:r>
        <w:rPr>
          <w:rFonts w:hint="eastAsia" w:ascii="方正仿宋简体" w:hAnsi="方正仿宋简体" w:eastAsia="方正仿宋简体" w:cs="方正仿宋简体"/>
          <w:sz w:val="32"/>
          <w:szCs w:val="32"/>
          <w:lang w:val="en-US" w:eastAsia="zh-CN"/>
        </w:rPr>
        <w:t>5个，领导职数为3。机关下设股室有：办公室、组宣部。</w:t>
      </w:r>
    </w:p>
    <w:p>
      <w:pPr>
        <w:pStyle w:val="10"/>
        <w:spacing w:line="500" w:lineRule="exact"/>
        <w:ind w:firstLine="800" w:firstLineChars="25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（二）决算单位构成。</w:t>
      </w:r>
      <w:r>
        <w:rPr>
          <w:rFonts w:hint="eastAsia" w:ascii="方正仿宋简体" w:hAnsi="方正仿宋简体" w:eastAsia="方正仿宋简体" w:cs="方正仿宋简体"/>
          <w:sz w:val="32"/>
          <w:szCs w:val="32"/>
          <w:lang w:val="en-US" w:eastAsia="zh-CN"/>
        </w:rPr>
        <w:t>共青团沅江市委</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年部门决算汇总公开单位构成包括：</w:t>
      </w:r>
      <w:r>
        <w:rPr>
          <w:rFonts w:hint="eastAsia" w:ascii="方正仿宋简体" w:hAnsi="方正仿宋简体" w:eastAsia="方正仿宋简体" w:cs="方正仿宋简体"/>
          <w:sz w:val="32"/>
          <w:szCs w:val="32"/>
          <w:lang w:val="en-US" w:eastAsia="zh-CN"/>
        </w:rPr>
        <w:t>共青团沅江市委</w:t>
      </w:r>
      <w:r>
        <w:rPr>
          <w:rFonts w:hint="eastAsia" w:ascii="方正仿宋简体" w:hAnsi="方正仿宋简体" w:eastAsia="方正仿宋简体" w:cs="方正仿宋简体"/>
          <w:sz w:val="32"/>
          <w:szCs w:val="32"/>
        </w:rPr>
        <w:t>单位本级</w:t>
      </w:r>
      <w:r>
        <w:rPr>
          <w:rFonts w:hint="eastAsia" w:ascii="方正仿宋简体" w:hAnsi="方正仿宋简体" w:eastAsia="方正仿宋简体" w:cs="方正仿宋简体"/>
          <w:sz w:val="32"/>
          <w:szCs w:val="32"/>
          <w:lang w:eastAsia="zh-CN"/>
        </w:rPr>
        <w:t>。</w:t>
      </w:r>
    </w:p>
    <w:p>
      <w:pPr>
        <w:pStyle w:val="10"/>
        <w:spacing w:line="500" w:lineRule="exact"/>
        <w:ind w:firstLine="800" w:firstLineChars="250"/>
        <w:rPr>
          <w:rFonts w:hint="eastAsia" w:ascii="方正仿宋简体" w:hAnsi="方正仿宋简体" w:eastAsia="方正仿宋简体" w:cs="方正仿宋简体"/>
          <w:sz w:val="32"/>
          <w:szCs w:val="32"/>
        </w:rPr>
      </w:pPr>
    </w:p>
    <w:p>
      <w:pPr>
        <w:pStyle w:val="10"/>
        <w:spacing w:line="500" w:lineRule="exact"/>
        <w:ind w:firstLine="800" w:firstLineChars="250"/>
        <w:rPr>
          <w:rFonts w:hint="eastAsia" w:ascii="方正仿宋简体" w:hAnsi="方正仿宋简体" w:eastAsia="方正仿宋简体" w:cs="方正仿宋简体"/>
          <w:sz w:val="32"/>
          <w:szCs w:val="32"/>
        </w:rPr>
      </w:pPr>
    </w:p>
    <w:p>
      <w:pPr>
        <w:pStyle w:val="10"/>
        <w:spacing w:line="500" w:lineRule="exact"/>
        <w:ind w:firstLine="800" w:firstLineChars="250"/>
        <w:rPr>
          <w:rFonts w:hint="eastAsia" w:ascii="方正仿宋简体" w:hAnsi="方正仿宋简体" w:eastAsia="方正仿宋简体" w:cs="方正仿宋简体"/>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rFonts w:hint="eastAsia" w:eastAsiaTheme="minorEastAsia"/>
          <w:sz w:val="72"/>
          <w:szCs w:val="72"/>
          <w:lang w:eastAsia="zh-CN"/>
        </w:rPr>
      </w:pPr>
      <w:r>
        <w:rPr>
          <w:rFonts w:hint="eastAsia"/>
          <w:sz w:val="72"/>
          <w:szCs w:val="72"/>
          <w:lang w:eastAsia="zh-CN"/>
        </w:rPr>
        <w:t>（</w:t>
      </w:r>
      <w:r>
        <w:rPr>
          <w:rFonts w:hint="eastAsia"/>
          <w:sz w:val="72"/>
          <w:szCs w:val="72"/>
          <w:lang w:val="en-US" w:eastAsia="zh-CN"/>
        </w:rPr>
        <w:t>见附件</w:t>
      </w:r>
      <w:r>
        <w:rPr>
          <w:rFonts w:hint="eastAsia"/>
          <w:sz w:val="72"/>
          <w:szCs w:val="72"/>
          <w:lang w:eastAsia="zh-CN"/>
        </w:rPr>
        <w:t>）</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w:t>
      </w:r>
      <w:r>
        <w:rPr>
          <w:rFonts w:hint="eastAsia"/>
          <w:sz w:val="70"/>
          <w:szCs w:val="70"/>
          <w:lang w:val="en-US" w:eastAsia="zh-CN"/>
        </w:rPr>
        <w:t>2</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right="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一、收入支出决算总体情况说明</w:t>
      </w:r>
    </w:p>
    <w:p>
      <w:pPr>
        <w:pStyle w:val="10"/>
        <w:spacing w:line="500" w:lineRule="exact"/>
        <w:ind w:firstLine="800" w:firstLineChars="250"/>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2022年度收入207.78万元，年初结转和结余7.27万元，本年支出211.16万元，年末结转和结余3.89万元。收支总计418.94万元，比上年同期增加161.94万元，主要原因是项目经费增加。</w:t>
      </w:r>
    </w:p>
    <w:p>
      <w:pPr>
        <w:pStyle w:val="10"/>
        <w:rPr>
          <w:rFonts w:hAnsi="黑体"/>
          <w:b/>
          <w:sz w:val="32"/>
          <w:szCs w:val="32"/>
        </w:rPr>
      </w:pPr>
      <w:r>
        <w:rPr>
          <w:rFonts w:hint="eastAsia" w:hAnsi="黑体"/>
          <w:b/>
          <w:sz w:val="32"/>
          <w:szCs w:val="32"/>
        </w:rPr>
        <w:t>二、收入决算情况说明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本年收入合计</w:t>
      </w:r>
      <w:r>
        <w:rPr>
          <w:rFonts w:hint="eastAsia" w:ascii="方正仿宋简体" w:hAnsi="方正仿宋简体" w:eastAsia="方正仿宋简体" w:cs="方正仿宋简体"/>
          <w:sz w:val="32"/>
          <w:szCs w:val="32"/>
          <w:lang w:val="en-US" w:eastAsia="zh-CN"/>
        </w:rPr>
        <w:t>207.78</w:t>
      </w:r>
      <w:r>
        <w:rPr>
          <w:rFonts w:hint="eastAsia" w:ascii="方正仿宋简体" w:hAnsi="方正仿宋简体" w:eastAsia="方正仿宋简体" w:cs="方正仿宋简体"/>
          <w:sz w:val="32"/>
          <w:szCs w:val="32"/>
        </w:rPr>
        <w:t>万元，其中：财政拨款收入</w:t>
      </w:r>
      <w:r>
        <w:rPr>
          <w:rFonts w:hint="eastAsia" w:ascii="方正仿宋简体" w:hAnsi="方正仿宋简体" w:eastAsia="方正仿宋简体" w:cs="方正仿宋简体"/>
          <w:sz w:val="32"/>
          <w:szCs w:val="32"/>
          <w:lang w:val="en-US" w:eastAsia="zh-CN"/>
        </w:rPr>
        <w:t>139.24</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67.01</w:t>
      </w:r>
      <w:r>
        <w:rPr>
          <w:rFonts w:hint="eastAsia" w:ascii="方正仿宋简体" w:hAnsi="方正仿宋简体" w:eastAsia="方正仿宋简体" w:cs="方正仿宋简体"/>
          <w:sz w:val="32"/>
          <w:szCs w:val="32"/>
        </w:rPr>
        <w:t>%；上级补助收入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%；事业收入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%；经营收入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%；附属单位上缴收入</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%；其他收入</w:t>
      </w:r>
      <w:r>
        <w:rPr>
          <w:rFonts w:hint="eastAsia" w:ascii="方正仿宋简体" w:hAnsi="方正仿宋简体" w:eastAsia="方正仿宋简体" w:cs="方正仿宋简体"/>
          <w:sz w:val="32"/>
          <w:szCs w:val="32"/>
          <w:lang w:val="en-US" w:eastAsia="zh-CN"/>
        </w:rPr>
        <w:t>68.54</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32.99</w:t>
      </w:r>
      <w:r>
        <w:rPr>
          <w:rFonts w:hint="eastAsia" w:ascii="方正仿宋简体" w:hAnsi="方正仿宋简体" w:eastAsia="方正仿宋简体" w:cs="方正仿宋简体"/>
          <w:sz w:val="32"/>
          <w:szCs w:val="32"/>
        </w:rPr>
        <w:t>%。</w:t>
      </w:r>
    </w:p>
    <w:p>
      <w:pPr>
        <w:pStyle w:val="10"/>
        <w:rPr>
          <w:rFonts w:hAnsi="黑体"/>
          <w:b/>
          <w:sz w:val="32"/>
          <w:szCs w:val="32"/>
        </w:rPr>
      </w:pPr>
      <w:r>
        <w:rPr>
          <w:rFonts w:hint="eastAsia" w:hAnsi="黑体"/>
          <w:b/>
          <w:sz w:val="32"/>
          <w:szCs w:val="32"/>
        </w:rPr>
        <w:t>三、支出决算情况说明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本年支出合计</w:t>
      </w:r>
      <w:r>
        <w:rPr>
          <w:rFonts w:hint="eastAsia" w:ascii="方正仿宋简体" w:hAnsi="方正仿宋简体" w:eastAsia="方正仿宋简体" w:cs="方正仿宋简体"/>
          <w:sz w:val="32"/>
          <w:szCs w:val="32"/>
          <w:lang w:val="en-US" w:eastAsia="zh-CN"/>
        </w:rPr>
        <w:t>211.16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78.43</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37.14</w:t>
      </w:r>
      <w:r>
        <w:rPr>
          <w:rFonts w:hint="eastAsia" w:ascii="方正仿宋简体" w:hAnsi="方正仿宋简体" w:eastAsia="方正仿宋简体" w:cs="方正仿宋简体"/>
          <w:sz w:val="32"/>
          <w:szCs w:val="32"/>
        </w:rPr>
        <w:t>%；项目支出</w:t>
      </w:r>
      <w:r>
        <w:rPr>
          <w:rFonts w:hint="eastAsia" w:ascii="方正仿宋简体" w:hAnsi="方正仿宋简体" w:eastAsia="方正仿宋简体" w:cs="方正仿宋简体"/>
          <w:sz w:val="32"/>
          <w:szCs w:val="32"/>
          <w:lang w:val="en-US" w:eastAsia="zh-CN"/>
        </w:rPr>
        <w:t>132.73</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62.86</w:t>
      </w:r>
      <w:r>
        <w:rPr>
          <w:rFonts w:hint="eastAsia" w:ascii="方正仿宋简体" w:hAnsi="方正仿宋简体" w:eastAsia="方正仿宋简体" w:cs="方正仿宋简体"/>
          <w:sz w:val="32"/>
          <w:szCs w:val="32"/>
        </w:rPr>
        <w:t>%；上缴上级支出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%；经营支出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%；对附属单位补助支出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Theme="minorEastAsia" w:hAnsiTheme="minorEastAsia" w:eastAsiaTheme="minorEastAsia"/>
          <w:sz w:val="32"/>
          <w:szCs w:val="32"/>
        </w:rPr>
        <w:t xml:space="preserve"> </w:t>
      </w:r>
      <w:r>
        <w:rPr>
          <w:rFonts w:hint="eastAsia" w:ascii="方正仿宋简体" w:hAnsi="方正仿宋简体" w:eastAsia="方正仿宋简体" w:cs="方正仿宋简体"/>
          <w:sz w:val="32"/>
          <w:szCs w:val="32"/>
          <w:lang w:val="en-US" w:eastAsia="zh-CN"/>
        </w:rPr>
        <w:t>2022</w:t>
      </w:r>
      <w:r>
        <w:rPr>
          <w:rFonts w:hint="eastAsia" w:ascii="方正仿宋简体" w:hAnsi="方正仿宋简体" w:eastAsia="方正仿宋简体" w:cs="方正仿宋简体"/>
          <w:sz w:val="32"/>
          <w:szCs w:val="32"/>
        </w:rPr>
        <w:t>年度财政拨款收入总计</w:t>
      </w:r>
      <w:r>
        <w:rPr>
          <w:rFonts w:hint="eastAsia" w:ascii="方正仿宋简体" w:hAnsi="方正仿宋简体" w:eastAsia="方正仿宋简体" w:cs="方正仿宋简体"/>
          <w:sz w:val="32"/>
          <w:szCs w:val="32"/>
          <w:lang w:val="en-US" w:eastAsia="zh-CN"/>
        </w:rPr>
        <w:t>139.24</w:t>
      </w:r>
      <w:r>
        <w:rPr>
          <w:rFonts w:hint="eastAsia" w:ascii="方正仿宋简体" w:hAnsi="方正仿宋简体" w:eastAsia="方正仿宋简体" w:cs="方正仿宋简体"/>
          <w:sz w:val="32"/>
          <w:szCs w:val="32"/>
        </w:rPr>
        <w:t>万元，比上年同期</w:t>
      </w:r>
      <w:r>
        <w:rPr>
          <w:rFonts w:hint="eastAsia" w:ascii="方正仿宋简体" w:hAnsi="方正仿宋简体" w:eastAsia="方正仿宋简体" w:cs="方正仿宋简体"/>
          <w:sz w:val="32"/>
          <w:szCs w:val="32"/>
          <w:lang w:val="en-US" w:eastAsia="zh-CN"/>
        </w:rPr>
        <w:t>增加40.3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增加40.73</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lang w:val="en-US" w:eastAsia="zh-CN"/>
        </w:rPr>
        <w:t>人员与项目经费增加</w:t>
      </w:r>
      <w:r>
        <w:rPr>
          <w:rFonts w:hint="eastAsia" w:ascii="方正仿宋简体" w:hAnsi="方正仿宋简体" w:eastAsia="方正仿宋简体" w:cs="方正仿宋简体"/>
          <w:sz w:val="32"/>
          <w:szCs w:val="32"/>
        </w:rPr>
        <w:t>。</w:t>
      </w:r>
    </w:p>
    <w:p>
      <w:pPr>
        <w:pStyle w:val="10"/>
        <w:spacing w:line="500" w:lineRule="exact"/>
        <w:ind w:firstLine="800" w:firstLineChars="25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2022年度财政拨款支出总计139.24万元，</w:t>
      </w:r>
      <w:r>
        <w:rPr>
          <w:rFonts w:hint="eastAsia" w:ascii="方正仿宋简体" w:hAnsi="方正仿宋简体" w:eastAsia="方正仿宋简体" w:cs="方正仿宋简体"/>
          <w:sz w:val="32"/>
          <w:szCs w:val="32"/>
        </w:rPr>
        <w:t>比上年同期</w:t>
      </w:r>
      <w:r>
        <w:rPr>
          <w:rFonts w:hint="eastAsia" w:ascii="方正仿宋简体" w:hAnsi="方正仿宋简体" w:eastAsia="方正仿宋简体" w:cs="方正仿宋简体"/>
          <w:sz w:val="32"/>
          <w:szCs w:val="32"/>
          <w:lang w:val="en-US" w:eastAsia="zh-CN"/>
        </w:rPr>
        <w:t>增加39.86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主要是文化旅游体育与传媒支出等的增加。</w:t>
      </w:r>
    </w:p>
    <w:p>
      <w:pPr>
        <w:pStyle w:val="10"/>
        <w:rPr>
          <w:rFonts w:hint="eastAsia"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spacing w:line="500" w:lineRule="exact"/>
        <w:ind w:firstLine="800" w:firstLineChars="25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年度财政拨款支出</w:t>
      </w:r>
      <w:r>
        <w:rPr>
          <w:rFonts w:hint="eastAsia" w:ascii="方正仿宋简体" w:hAnsi="方正仿宋简体" w:eastAsia="方正仿宋简体" w:cs="方正仿宋简体"/>
          <w:sz w:val="32"/>
          <w:szCs w:val="32"/>
          <w:lang w:val="en-US" w:eastAsia="zh-CN"/>
        </w:rPr>
        <w:t>139.24</w:t>
      </w:r>
      <w:r>
        <w:rPr>
          <w:rFonts w:hint="eastAsia" w:ascii="方正仿宋简体" w:hAnsi="方正仿宋简体" w:eastAsia="方正仿宋简体" w:cs="方正仿宋简体"/>
          <w:sz w:val="32"/>
          <w:szCs w:val="32"/>
        </w:rPr>
        <w:t>元，占本年支出合计的</w:t>
      </w:r>
      <w:r>
        <w:rPr>
          <w:rFonts w:hint="eastAsia" w:ascii="方正仿宋简体" w:hAnsi="方正仿宋简体" w:eastAsia="方正仿宋简体" w:cs="方正仿宋简体"/>
          <w:sz w:val="32"/>
          <w:szCs w:val="32"/>
          <w:lang w:val="en-US" w:eastAsia="zh-CN"/>
        </w:rPr>
        <w:t>65.94</w:t>
      </w:r>
      <w:r>
        <w:rPr>
          <w:rFonts w:hint="eastAsia" w:ascii="方正仿宋简体" w:hAnsi="方正仿宋简体" w:eastAsia="方正仿宋简体" w:cs="方正仿宋简体"/>
          <w:sz w:val="32"/>
          <w:szCs w:val="32"/>
        </w:rPr>
        <w:t>%，与上年相比，财政拨款支出</w:t>
      </w:r>
      <w:r>
        <w:rPr>
          <w:rFonts w:hint="eastAsia" w:ascii="方正仿宋简体" w:hAnsi="方正仿宋简体" w:eastAsia="方正仿宋简体" w:cs="方正仿宋简体"/>
          <w:sz w:val="32"/>
          <w:szCs w:val="32"/>
          <w:lang w:val="en-US" w:eastAsia="zh-CN"/>
        </w:rPr>
        <w:t>增加39.86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上升40.10</w:t>
      </w:r>
      <w:r>
        <w:rPr>
          <w:rFonts w:hint="eastAsia" w:ascii="方正仿宋简体" w:hAnsi="方正仿宋简体" w:eastAsia="方正仿宋简体" w:cs="方正仿宋简体"/>
          <w:sz w:val="32"/>
          <w:szCs w:val="32"/>
        </w:rPr>
        <w:t>%，主要是因为</w:t>
      </w:r>
      <w:r>
        <w:rPr>
          <w:rFonts w:hint="eastAsia" w:ascii="方正仿宋简体" w:hAnsi="方正仿宋简体" w:eastAsia="方正仿宋简体" w:cs="方正仿宋简体"/>
          <w:sz w:val="32"/>
          <w:szCs w:val="32"/>
          <w:lang w:val="en-US" w:eastAsia="zh-CN"/>
        </w:rPr>
        <w:t>文化旅游体育与传媒支出等的支出增加。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spacing w:line="500" w:lineRule="exact"/>
        <w:ind w:firstLine="800" w:firstLineChars="25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年度财政拨款支出</w:t>
      </w:r>
      <w:r>
        <w:rPr>
          <w:rFonts w:hint="eastAsia" w:ascii="方正仿宋简体" w:hAnsi="方正仿宋简体" w:eastAsia="方正仿宋简体" w:cs="方正仿宋简体"/>
          <w:sz w:val="32"/>
          <w:szCs w:val="32"/>
          <w:lang w:val="en-US" w:eastAsia="zh-CN"/>
        </w:rPr>
        <w:t>139.24</w:t>
      </w:r>
      <w:r>
        <w:rPr>
          <w:rFonts w:hint="eastAsia" w:ascii="方正仿宋简体" w:hAnsi="方正仿宋简体" w:eastAsia="方正仿宋简体" w:cs="方正仿宋简体"/>
          <w:sz w:val="32"/>
          <w:szCs w:val="32"/>
        </w:rPr>
        <w:t>万元，主要用于以下方面：一般公共服务（类）支出</w:t>
      </w:r>
      <w:r>
        <w:rPr>
          <w:rFonts w:hint="eastAsia" w:ascii="方正仿宋简体" w:hAnsi="方正仿宋简体" w:eastAsia="方正仿宋简体" w:cs="方正仿宋简体"/>
          <w:sz w:val="32"/>
          <w:szCs w:val="32"/>
          <w:lang w:val="en-US" w:eastAsia="zh-CN"/>
        </w:rPr>
        <w:t>102.25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73.43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；文化旅游体育与传媒支出</w:t>
      </w:r>
      <w:r>
        <w:rPr>
          <w:rFonts w:hint="eastAsia" w:ascii="方正仿宋简体" w:hAnsi="方正仿宋简体" w:eastAsia="方正仿宋简体" w:cs="方正仿宋简体"/>
          <w:sz w:val="32"/>
          <w:szCs w:val="32"/>
          <w:lang w:val="en-US" w:eastAsia="zh-CN"/>
        </w:rPr>
        <w:t>5万元，占3.59%；社会保障和就业支出12.72万元，占9.14%；城乡社区支出1.5万元，占1.08%；住房保障支出3.16万元，占2.27%；灾害防治及应急管理支出8.6万元，占6.18%；其他支出6万元，占4.30%。</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年度财政拨款支出年初预算数为</w:t>
      </w:r>
      <w:r>
        <w:rPr>
          <w:rFonts w:hint="eastAsia" w:ascii="方正仿宋简体" w:hAnsi="方正仿宋简体" w:eastAsia="方正仿宋简体" w:cs="方正仿宋简体"/>
          <w:sz w:val="32"/>
          <w:szCs w:val="32"/>
          <w:lang w:val="en-US" w:eastAsia="zh-CN"/>
        </w:rPr>
        <w:t>98.09</w:t>
      </w:r>
      <w:r>
        <w:rPr>
          <w:rFonts w:hint="eastAsia" w:ascii="方正仿宋简体" w:hAnsi="方正仿宋简体" w:eastAsia="方正仿宋简体" w:cs="方正仿宋简体"/>
          <w:sz w:val="32"/>
          <w:szCs w:val="32"/>
        </w:rPr>
        <w:t>元，支出决算数为</w:t>
      </w:r>
      <w:r>
        <w:rPr>
          <w:rFonts w:hint="eastAsia" w:ascii="方正仿宋简体" w:hAnsi="方正仿宋简体" w:eastAsia="方正仿宋简体" w:cs="方正仿宋简体"/>
          <w:sz w:val="32"/>
          <w:szCs w:val="32"/>
          <w:lang w:val="en-US" w:eastAsia="zh-CN"/>
        </w:rPr>
        <w:t>139.24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其中：</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1、一般公共服务。</w:t>
      </w:r>
    </w:p>
    <w:p>
      <w:pPr>
        <w:pStyle w:val="10"/>
        <w:spacing w:line="500" w:lineRule="exact"/>
        <w:ind w:firstLine="800" w:firstLineChars="25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年初预算为</w:t>
      </w:r>
      <w:r>
        <w:rPr>
          <w:rFonts w:hint="eastAsia" w:ascii="方正仿宋简体" w:hAnsi="方正仿宋简体" w:eastAsia="方正仿宋简体" w:cs="方正仿宋简体"/>
          <w:sz w:val="32"/>
          <w:szCs w:val="32"/>
          <w:lang w:val="en-US" w:eastAsia="zh-CN"/>
        </w:rPr>
        <w:t>98.09</w:t>
      </w:r>
      <w:r>
        <w:rPr>
          <w:rFonts w:hint="eastAsia" w:ascii="方正仿宋简体" w:hAnsi="方正仿宋简体" w:eastAsia="方正仿宋简体" w:cs="方正仿宋简体"/>
          <w:sz w:val="32"/>
          <w:szCs w:val="32"/>
        </w:rPr>
        <w:t>万元，支出决算为</w:t>
      </w:r>
      <w:r>
        <w:rPr>
          <w:rFonts w:hint="eastAsia" w:ascii="方正仿宋简体" w:hAnsi="方正仿宋简体" w:eastAsia="方正仿宋简体" w:cs="方正仿宋简体"/>
          <w:sz w:val="32"/>
          <w:szCs w:val="32"/>
          <w:lang w:val="en-US" w:eastAsia="zh-CN"/>
        </w:rPr>
        <w:t>102.25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pPr>
        <w:pStyle w:val="10"/>
        <w:numPr>
          <w:ilvl w:val="0"/>
          <w:numId w:val="2"/>
        </w:numPr>
        <w:spacing w:line="500" w:lineRule="exact"/>
        <w:ind w:firstLine="800" w:firstLineChars="25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文化旅游体育与传媒支出。</w:t>
      </w:r>
    </w:p>
    <w:p>
      <w:pPr>
        <w:pStyle w:val="10"/>
        <w:numPr>
          <w:ilvl w:val="0"/>
          <w:numId w:val="0"/>
        </w:numPr>
        <w:spacing w:line="50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年初预算为0，支出决算为5万元。</w:t>
      </w:r>
    </w:p>
    <w:p>
      <w:pPr>
        <w:pStyle w:val="10"/>
        <w:numPr>
          <w:ilvl w:val="0"/>
          <w:numId w:val="2"/>
        </w:numPr>
        <w:spacing w:line="500" w:lineRule="exact"/>
        <w:ind w:left="0" w:leftChars="0"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社会保障和就业支出。</w:t>
      </w:r>
    </w:p>
    <w:p>
      <w:pPr>
        <w:pStyle w:val="10"/>
        <w:numPr>
          <w:ilvl w:val="0"/>
          <w:numId w:val="0"/>
        </w:numPr>
        <w:spacing w:line="500" w:lineRule="exact"/>
        <w:ind w:left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年初预算为0，支出决算为12.72万元。</w:t>
      </w:r>
    </w:p>
    <w:p>
      <w:pPr>
        <w:pStyle w:val="10"/>
        <w:numPr>
          <w:ilvl w:val="0"/>
          <w:numId w:val="2"/>
        </w:numPr>
        <w:spacing w:line="500" w:lineRule="exact"/>
        <w:ind w:left="0" w:leftChars="0"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城乡社区支出。</w:t>
      </w:r>
    </w:p>
    <w:p>
      <w:pPr>
        <w:pStyle w:val="10"/>
        <w:numPr>
          <w:ilvl w:val="0"/>
          <w:numId w:val="0"/>
        </w:numPr>
        <w:spacing w:line="500" w:lineRule="exact"/>
        <w:ind w:left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年初预算为0，支出决算为1.5万元。</w:t>
      </w:r>
    </w:p>
    <w:p>
      <w:pPr>
        <w:pStyle w:val="10"/>
        <w:numPr>
          <w:ilvl w:val="0"/>
          <w:numId w:val="2"/>
        </w:numPr>
        <w:spacing w:line="500" w:lineRule="exact"/>
        <w:ind w:left="0" w:leftChars="0"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住房保障支出。</w:t>
      </w:r>
    </w:p>
    <w:p>
      <w:pPr>
        <w:pStyle w:val="10"/>
        <w:numPr>
          <w:ilvl w:val="0"/>
          <w:numId w:val="0"/>
        </w:numPr>
        <w:spacing w:line="500" w:lineRule="exact"/>
        <w:ind w:left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年初预算为0，支出决算为3.16万元。</w:t>
      </w:r>
    </w:p>
    <w:p>
      <w:pPr>
        <w:pStyle w:val="10"/>
        <w:numPr>
          <w:ilvl w:val="0"/>
          <w:numId w:val="2"/>
        </w:numPr>
        <w:spacing w:line="500" w:lineRule="exact"/>
        <w:ind w:left="0" w:leftChars="0"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灾害防治及应急管理支出。</w:t>
      </w:r>
    </w:p>
    <w:p>
      <w:pPr>
        <w:pStyle w:val="10"/>
        <w:numPr>
          <w:ilvl w:val="0"/>
          <w:numId w:val="0"/>
        </w:numPr>
        <w:spacing w:line="500" w:lineRule="exact"/>
        <w:ind w:left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年初预算为0，支出决算为8.6万元。</w:t>
      </w:r>
    </w:p>
    <w:p>
      <w:pPr>
        <w:pStyle w:val="10"/>
        <w:numPr>
          <w:ilvl w:val="0"/>
          <w:numId w:val="2"/>
        </w:numPr>
        <w:spacing w:line="500" w:lineRule="exact"/>
        <w:ind w:left="0" w:leftChars="0"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其他支出。</w:t>
      </w:r>
    </w:p>
    <w:p>
      <w:pPr>
        <w:pStyle w:val="10"/>
        <w:numPr>
          <w:ilvl w:val="0"/>
          <w:numId w:val="0"/>
        </w:numPr>
        <w:spacing w:line="500" w:lineRule="exact"/>
        <w:ind w:leftChars="25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年初预算为0，支出决算为6万元。</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年度财政拨款基本支出</w:t>
      </w:r>
      <w:r>
        <w:rPr>
          <w:rFonts w:hint="eastAsia" w:ascii="方正仿宋简体" w:hAnsi="方正仿宋简体" w:eastAsia="方正仿宋简体" w:cs="方正仿宋简体"/>
          <w:sz w:val="32"/>
          <w:szCs w:val="32"/>
          <w:lang w:val="en-US" w:eastAsia="zh-CN"/>
        </w:rPr>
        <w:t>75.51</w:t>
      </w:r>
      <w:r>
        <w:rPr>
          <w:rFonts w:hint="eastAsia" w:ascii="方正仿宋简体" w:hAnsi="方正仿宋简体" w:eastAsia="方正仿宋简体" w:cs="方正仿宋简体"/>
          <w:sz w:val="32"/>
          <w:szCs w:val="32"/>
        </w:rPr>
        <w:t>万元，其中：人员经费</w:t>
      </w:r>
      <w:r>
        <w:rPr>
          <w:rFonts w:hint="eastAsia" w:ascii="方正仿宋简体" w:hAnsi="方正仿宋简体" w:eastAsia="方正仿宋简体" w:cs="方正仿宋简体"/>
          <w:sz w:val="32"/>
          <w:szCs w:val="32"/>
          <w:lang w:val="en-US" w:eastAsia="zh-CN"/>
        </w:rPr>
        <w:t>67.66</w:t>
      </w:r>
      <w:r>
        <w:rPr>
          <w:rFonts w:hint="eastAsia" w:ascii="方正仿宋简体" w:hAnsi="方正仿宋简体" w:eastAsia="方正仿宋简体" w:cs="方正仿宋简体"/>
          <w:sz w:val="32"/>
          <w:szCs w:val="32"/>
        </w:rPr>
        <w:t>万元，占基本支出的</w:t>
      </w:r>
      <w:r>
        <w:rPr>
          <w:rFonts w:hint="eastAsia" w:ascii="方正仿宋简体" w:hAnsi="方正仿宋简体" w:eastAsia="方正仿宋简体" w:cs="方正仿宋简体"/>
          <w:sz w:val="32"/>
          <w:szCs w:val="32"/>
          <w:lang w:val="en-US" w:eastAsia="zh-CN"/>
        </w:rPr>
        <w:t>89.60</w:t>
      </w:r>
      <w:r>
        <w:rPr>
          <w:rFonts w:hint="eastAsia" w:ascii="方正仿宋简体" w:hAnsi="方正仿宋简体" w:eastAsia="方正仿宋简体" w:cs="方正仿宋简体"/>
          <w:sz w:val="32"/>
          <w:szCs w:val="32"/>
        </w:rPr>
        <w:t>%,主要包括基本工资、津贴补贴、奖金、伙食补助费</w:t>
      </w:r>
      <w:r>
        <w:rPr>
          <w:rFonts w:hint="eastAsia" w:ascii="方正仿宋简体" w:hAnsi="方正仿宋简体" w:eastAsia="方正仿宋简体" w:cs="方正仿宋简体"/>
          <w:sz w:val="32"/>
          <w:szCs w:val="32"/>
          <w:lang w:eastAsia="zh-CN"/>
        </w:rPr>
        <w:t>、机关事业单位基本养老保险缴费、 职业年金缴费、职工基本医疗保险缴费、公务员医疗补助缴费、其他社会保障缴费、住房公积金</w:t>
      </w:r>
      <w:r>
        <w:rPr>
          <w:rFonts w:hint="eastAsia" w:ascii="方正仿宋简体" w:hAnsi="方正仿宋简体" w:eastAsia="方正仿宋简体" w:cs="方正仿宋简体"/>
          <w:sz w:val="32"/>
          <w:szCs w:val="32"/>
        </w:rPr>
        <w:t>；公用经费</w:t>
      </w:r>
      <w:r>
        <w:rPr>
          <w:rFonts w:hint="eastAsia" w:ascii="方正仿宋简体" w:hAnsi="方正仿宋简体" w:eastAsia="方正仿宋简体" w:cs="方正仿宋简体"/>
          <w:sz w:val="32"/>
          <w:szCs w:val="32"/>
          <w:lang w:val="en-US" w:eastAsia="zh-CN"/>
        </w:rPr>
        <w:t>7.85</w:t>
      </w:r>
      <w:r>
        <w:rPr>
          <w:rFonts w:hint="eastAsia" w:ascii="方正仿宋简体" w:hAnsi="方正仿宋简体" w:eastAsia="方正仿宋简体" w:cs="方正仿宋简体"/>
          <w:sz w:val="32"/>
          <w:szCs w:val="32"/>
        </w:rPr>
        <w:t>万元，占基本支出的</w:t>
      </w:r>
      <w:r>
        <w:rPr>
          <w:rFonts w:hint="eastAsia" w:ascii="方正仿宋简体" w:hAnsi="方正仿宋简体" w:eastAsia="方正仿宋简体" w:cs="方正仿宋简体"/>
          <w:sz w:val="32"/>
          <w:szCs w:val="32"/>
          <w:lang w:val="en-US" w:eastAsia="zh-CN"/>
        </w:rPr>
        <w:t>10.40</w:t>
      </w:r>
      <w:r>
        <w:rPr>
          <w:rFonts w:hint="eastAsia" w:ascii="方正仿宋简体" w:hAnsi="方正仿宋简体" w:eastAsia="方正仿宋简体" w:cs="方正仿宋简体"/>
          <w:sz w:val="32"/>
          <w:szCs w:val="32"/>
        </w:rPr>
        <w:t>%，主要包括办公费、印刷费、咨询费、</w:t>
      </w:r>
      <w:r>
        <w:rPr>
          <w:rFonts w:hint="eastAsia" w:ascii="方正仿宋简体" w:hAnsi="方正仿宋简体" w:eastAsia="方正仿宋简体" w:cs="方正仿宋简体"/>
          <w:sz w:val="32"/>
          <w:szCs w:val="32"/>
          <w:lang w:val="en-US" w:eastAsia="zh-CN"/>
        </w:rPr>
        <w:t>水</w:t>
      </w:r>
      <w:r>
        <w:rPr>
          <w:rFonts w:hint="eastAsia" w:ascii="方正仿宋简体" w:hAnsi="方正仿宋简体" w:eastAsia="方正仿宋简体" w:cs="方正仿宋简体"/>
          <w:sz w:val="32"/>
          <w:szCs w:val="32"/>
        </w:rPr>
        <w:t>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差旅费等</w:t>
      </w:r>
      <w:r>
        <w:rPr>
          <w:rFonts w:hint="eastAsia" w:ascii="方正仿宋简体" w:hAnsi="方正仿宋简体" w:eastAsia="方正仿宋简体" w:cs="方正仿宋简体"/>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“三公”经费财政拨款支出预算为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万元，支出决算为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bookmarkStart w:id="0" w:name="_GoBack"/>
      <w:bookmarkEnd w:id="0"/>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因公出国（境）费支出预算为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万元，支出决算为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万元，完成预算的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公务接待费支出预算为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万元，支出决算为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万元，完成预算的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公务用车购置费及运行维护费支出预算为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万元，支出决算为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万元，完成预算的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p>
    <w:p>
      <w:pPr>
        <w:pStyle w:val="10"/>
        <w:rPr>
          <w:rFonts w:hint="eastAsia" w:asciiTheme="minorEastAsia" w:hAnsiTheme="minorEastAsia" w:eastAsiaTheme="minorEastAsia"/>
          <w:b/>
          <w:sz w:val="32"/>
          <w:szCs w:val="32"/>
        </w:rPr>
      </w:pP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年度“三公”经费财政拨款支出决算中，公务接待费支出决算</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因公出国（境）费支出决算</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%,公务用车购置费及运行维护费支出决算</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%。其中：</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公务接待费支出决算为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年12月31日，我单位开支财政拨款的公务用车保有量为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spacing w:line="500" w:lineRule="exact"/>
        <w:ind w:firstLine="800" w:firstLineChars="25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本单位2022年政府性基金收入7.5万元，其支出情况分别是：城乡社区支出1.5万元；其他支出6万元。</w:t>
      </w:r>
    </w:p>
    <w:p>
      <w:pPr>
        <w:pStyle w:val="10"/>
        <w:rPr>
          <w:rFonts w:hAnsi="黑体"/>
          <w:b/>
          <w:sz w:val="32"/>
          <w:szCs w:val="32"/>
        </w:rPr>
      </w:pPr>
      <w:r>
        <w:rPr>
          <w:rFonts w:hint="eastAsia" w:hAnsi="黑体"/>
          <w:b/>
          <w:sz w:val="32"/>
          <w:szCs w:val="32"/>
        </w:rPr>
        <w:t>九、关于机关运行经费支出说明</w:t>
      </w:r>
    </w:p>
    <w:p>
      <w:pPr>
        <w:pStyle w:val="10"/>
        <w:spacing w:line="500" w:lineRule="exact"/>
        <w:ind w:firstLine="800" w:firstLineChars="25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本部门</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年度机关运行经费支出</w:t>
      </w:r>
      <w:r>
        <w:rPr>
          <w:rFonts w:hint="eastAsia" w:ascii="方正仿宋简体" w:hAnsi="方正仿宋简体" w:eastAsia="方正仿宋简体" w:cs="方正仿宋简体"/>
          <w:sz w:val="32"/>
          <w:szCs w:val="32"/>
          <w:lang w:val="en-US" w:eastAsia="zh-CN"/>
        </w:rPr>
        <w:t>7.85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与上年基本持平。</w:t>
      </w:r>
    </w:p>
    <w:p>
      <w:pPr>
        <w:pStyle w:val="10"/>
        <w:rPr>
          <w:rFonts w:hAnsi="黑体"/>
          <w:b/>
          <w:sz w:val="32"/>
          <w:szCs w:val="32"/>
        </w:rPr>
      </w:pPr>
      <w:r>
        <w:rPr>
          <w:rFonts w:hint="eastAsia" w:hAnsi="黑体"/>
          <w:b/>
          <w:sz w:val="32"/>
          <w:szCs w:val="32"/>
        </w:rPr>
        <w:t>十、一般性支出情况</w:t>
      </w:r>
    </w:p>
    <w:p>
      <w:pPr>
        <w:pStyle w:val="10"/>
        <w:spacing w:line="500" w:lineRule="exact"/>
        <w:ind w:firstLine="800" w:firstLineChars="25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年本部门开支会议费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万元，开支培训费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w:t>
      </w:r>
    </w:p>
    <w:p>
      <w:pPr>
        <w:pStyle w:val="10"/>
        <w:rPr>
          <w:rFonts w:hAnsi="黑体"/>
          <w:b/>
          <w:sz w:val="32"/>
          <w:szCs w:val="32"/>
        </w:rPr>
      </w:pPr>
      <w:r>
        <w:rPr>
          <w:rFonts w:hint="eastAsia" w:hAnsi="黑体"/>
          <w:b/>
          <w:sz w:val="32"/>
          <w:szCs w:val="32"/>
        </w:rPr>
        <w:t>十一、关于政府采购支出说明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w:t>
      </w:r>
      <w:r>
        <w:rPr>
          <w:rFonts w:hint="eastAsia" w:ascii="方正仿宋简体" w:hAnsi="方正仿宋简体" w:eastAsia="方正仿宋简体" w:cs="方正仿宋简体"/>
          <w:sz w:val="32"/>
          <w:szCs w:val="32"/>
          <w:lang w:eastAsia="zh-CN"/>
        </w:rPr>
        <w:t>2022</w:t>
      </w:r>
      <w:r>
        <w:rPr>
          <w:rFonts w:hint="eastAsia" w:ascii="方正仿宋简体" w:hAnsi="方正仿宋简体" w:eastAsia="方正仿宋简体" w:cs="方正仿宋简体"/>
          <w:sz w:val="32"/>
          <w:szCs w:val="32"/>
        </w:rPr>
        <w:t>年度政府采购支出总额</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pStyle w:val="10"/>
        <w:rPr>
          <w:rFonts w:hAnsi="黑体"/>
          <w:b/>
          <w:sz w:val="32"/>
          <w:szCs w:val="32"/>
        </w:rPr>
      </w:pPr>
      <w:r>
        <w:rPr>
          <w:rFonts w:hint="eastAsia" w:hAnsi="黑体"/>
          <w:b/>
          <w:sz w:val="32"/>
          <w:szCs w:val="32"/>
        </w:rPr>
        <w:t>十二、关于国有资产占用情况说明</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截至202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年12月31日，本单位共有车辆</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辆</w:t>
      </w:r>
    </w:p>
    <w:p>
      <w:pPr>
        <w:pStyle w:val="10"/>
        <w:rPr>
          <w:rFonts w:hAnsi="黑体"/>
          <w:b/>
          <w:sz w:val="32"/>
          <w:szCs w:val="32"/>
        </w:rPr>
      </w:pPr>
      <w:r>
        <w:rPr>
          <w:rFonts w:hint="eastAsia" w:hAnsi="黑体"/>
          <w:b/>
          <w:sz w:val="32"/>
          <w:szCs w:val="32"/>
        </w:rPr>
        <w:t>十三、关于</w:t>
      </w:r>
      <w:r>
        <w:rPr>
          <w:rFonts w:hint="eastAsia" w:hAnsi="黑体"/>
          <w:b/>
          <w:sz w:val="32"/>
          <w:szCs w:val="32"/>
          <w:lang w:eastAsia="zh-CN"/>
        </w:rPr>
        <w:t>2022</w:t>
      </w:r>
      <w:r>
        <w:rPr>
          <w:rFonts w:hint="eastAsia" w:hAnsi="黑体"/>
          <w:b/>
          <w:sz w:val="32"/>
          <w:szCs w:val="32"/>
        </w:rPr>
        <w:t>年度预算绩效情况的说明</w:t>
      </w:r>
    </w:p>
    <w:p>
      <w:pPr>
        <w:pStyle w:val="10"/>
        <w:spacing w:line="500" w:lineRule="exact"/>
        <w:ind w:firstLine="800" w:firstLineChars="250"/>
        <w:rPr>
          <w:rFonts w:ascii="微软雅黑" w:hAnsi="微软雅黑" w:eastAsia="微软雅黑" w:cs="微软雅黑"/>
          <w:i w:val="0"/>
          <w:iCs w:val="0"/>
          <w:caps w:val="0"/>
          <w:color w:val="333333"/>
          <w:spacing w:val="0"/>
          <w:sz w:val="24"/>
          <w:szCs w:val="24"/>
        </w:rPr>
      </w:pPr>
      <w:r>
        <w:rPr>
          <w:rFonts w:ascii="仿宋" w:hAnsi="仿宋" w:eastAsia="仿宋" w:cs="仿宋"/>
          <w:b/>
          <w:bCs/>
          <w:i w:val="0"/>
          <w:iCs w:val="0"/>
          <w:caps w:val="0"/>
          <w:color w:val="333333"/>
          <w:spacing w:val="0"/>
          <w:kern w:val="0"/>
          <w:sz w:val="32"/>
          <w:szCs w:val="32"/>
          <w:shd w:val="clear" w:fill="FFFFFF"/>
          <w:lang w:val="en-US" w:eastAsia="zh-CN" w:bidi="ar"/>
        </w:rPr>
        <w:t>（一）绩效管理工作开展情况</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本部门在履行自身工作职责的过程中，根据市财政局要求，以绩效评估为契机，认真对照评估指标，按照年度工作计划扎实推进2022年度财政支出绩效自评工作。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（二）部门决算中项目绩效自评结果</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总的来说，2022年本部门干部职工积极履职、扎实工作，较好完成了全年工作目标，有力保障了市委各项决策，工作部署的制定和落实，为我市经济和社会的稳定及发展作出了应有的贡献。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（三）以部门为主体开展的重点绩效评价结果</w:t>
      </w:r>
    </w:p>
    <w:p>
      <w:pPr>
        <w:pStyle w:val="10"/>
        <w:spacing w:line="500" w:lineRule="exact"/>
        <w:ind w:firstLine="800" w:firstLineChars="2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本部门组织机构健全，有主管领导、分管领导和财务管理人员、具体负责人。在单位项目实施过程中，能严格按照制定的具体方案进行过程控制和费用控制，其项目管理到位，效果较好。</w:t>
      </w:r>
    </w:p>
    <w:p>
      <w:pPr>
        <w:pStyle w:val="10"/>
        <w:spacing w:line="500" w:lineRule="exact"/>
        <w:ind w:firstLine="800" w:firstLineChars="250"/>
        <w:rPr>
          <w:rFonts w:hint="eastAsia" w:ascii="方正仿宋简体" w:hAnsi="方正仿宋简体" w:eastAsia="方正仿宋简体" w:cs="方正仿宋简体"/>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40" w:afterAutospacing="0" w:line="540" w:lineRule="atLeast"/>
        <w:ind w:left="0" w:right="0" w:firstLine="420"/>
        <w:jc w:val="center"/>
        <w:rPr>
          <w:rFonts w:ascii="微软雅黑" w:hAnsi="微软雅黑" w:eastAsia="微软雅黑" w:cs="微软雅黑"/>
          <w:i w:val="0"/>
          <w:iCs w:val="0"/>
          <w:caps w:val="0"/>
          <w:color w:val="333333"/>
          <w:spacing w:val="0"/>
          <w:sz w:val="24"/>
          <w:szCs w:val="24"/>
        </w:rPr>
      </w:pPr>
      <w:r>
        <w:rPr>
          <w:rFonts w:ascii="仿宋" w:hAnsi="仿宋" w:eastAsia="仿宋" w:cs="仿宋"/>
          <w:b/>
          <w:bCs/>
          <w:i w:val="0"/>
          <w:iCs w:val="0"/>
          <w:caps w:val="0"/>
          <w:color w:val="333333"/>
          <w:spacing w:val="0"/>
          <w:kern w:val="0"/>
          <w:sz w:val="44"/>
          <w:szCs w:val="44"/>
          <w:shd w:val="clear" w:fill="FFFFFF"/>
          <w:lang w:val="en-US" w:eastAsia="zh-CN" w:bidi="ar"/>
        </w:rPr>
        <w:t>第四部分</w:t>
      </w:r>
      <w:r>
        <w:rPr>
          <w:rFonts w:hint="eastAsia" w:ascii="仿宋" w:hAnsi="仿宋" w:eastAsia="仿宋" w:cs="仿宋"/>
          <w:b/>
          <w:bCs/>
          <w:i w:val="0"/>
          <w:iCs w:val="0"/>
          <w:caps w:val="0"/>
          <w:color w:val="333333"/>
          <w:spacing w:val="0"/>
          <w:kern w:val="0"/>
          <w:sz w:val="44"/>
          <w:szCs w:val="44"/>
          <w:shd w:val="clear" w:fill="FFFFFF"/>
          <w:lang w:val="en-US" w:eastAsia="zh-CN" w:bidi="ar"/>
        </w:rPr>
        <w:t>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一、财政拨款收入：</w:t>
      </w:r>
      <w:r>
        <w:rPr>
          <w:rFonts w:hint="eastAsia" w:ascii="仿宋" w:hAnsi="仿宋" w:eastAsia="仿宋" w:cs="仿宋"/>
          <w:i w:val="0"/>
          <w:iCs w:val="0"/>
          <w:caps w:val="0"/>
          <w:color w:val="333333"/>
          <w:spacing w:val="0"/>
          <w:kern w:val="0"/>
          <w:sz w:val="32"/>
          <w:szCs w:val="32"/>
          <w:shd w:val="clear" w:fill="FFFFFF"/>
          <w:lang w:val="en-US" w:eastAsia="zh-CN" w:bidi="ar"/>
        </w:rPr>
        <w:t>指中央财政当年拨付的资金。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二、事业收入：</w:t>
      </w:r>
      <w:r>
        <w:rPr>
          <w:rFonts w:hint="eastAsia" w:ascii="仿宋" w:hAnsi="仿宋" w:eastAsia="仿宋" w:cs="仿宋"/>
          <w:i w:val="0"/>
          <w:iCs w:val="0"/>
          <w:caps w:val="0"/>
          <w:color w:val="333333"/>
          <w:spacing w:val="0"/>
          <w:kern w:val="0"/>
          <w:sz w:val="32"/>
          <w:szCs w:val="32"/>
          <w:shd w:val="clear" w:fill="FFFFFF"/>
          <w:lang w:val="en-US" w:eastAsia="zh-CN" w:bidi="ar"/>
        </w:rPr>
        <w:t>指事业单位开展专业业务活动及辅助活动所取得的收入。如：中国财政杂志社的刊物发行收入，中国注册会计师协会、中国资产评估协会、中国国债协会、中国会计学会收取的会费收入等。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三、经营收入：</w:t>
      </w:r>
      <w:r>
        <w:rPr>
          <w:rFonts w:hint="eastAsia" w:ascii="仿宋" w:hAnsi="仿宋" w:eastAsia="仿宋" w:cs="仿宋"/>
          <w:i w:val="0"/>
          <w:iCs w:val="0"/>
          <w:caps w:val="0"/>
          <w:color w:val="333333"/>
          <w:spacing w:val="0"/>
          <w:kern w:val="0"/>
          <w:sz w:val="32"/>
          <w:szCs w:val="32"/>
          <w:shd w:val="clear" w:fill="FFFFFF"/>
          <w:lang w:val="en-US" w:eastAsia="zh-CN" w:bidi="ar"/>
        </w:rPr>
        <w:t>指事业单位在专业业务活动及其辅助活动之外开展非独立核算经营活动取得的收入。如：中国财政杂志社广告收入等。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四、其他收入：</w:t>
      </w:r>
      <w:r>
        <w:rPr>
          <w:rFonts w:hint="eastAsia" w:ascii="仿宋" w:hAnsi="仿宋" w:eastAsia="仿宋" w:cs="仿宋"/>
          <w:i w:val="0"/>
          <w:iCs w:val="0"/>
          <w:caps w:val="0"/>
          <w:color w:val="333333"/>
          <w:spacing w:val="0"/>
          <w:kern w:val="0"/>
          <w:sz w:val="32"/>
          <w:szCs w:val="32"/>
          <w:shd w:val="clear" w:fill="FFFFFF"/>
          <w:lang w:val="en-US" w:eastAsia="zh-CN" w:bidi="ar"/>
        </w:rPr>
        <w:t>指除上述“财政拨款收入” 、 “事业收入” 、“经营收入”等以外的收入。主要是按规定动用的售房收入、存款利息收入等。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五、用事业基金弥补收支差额：</w:t>
      </w:r>
      <w:r>
        <w:rPr>
          <w:rFonts w:hint="eastAsia" w:ascii="仿宋" w:hAnsi="仿宋" w:eastAsia="仿宋" w:cs="仿宋"/>
          <w:i w:val="0"/>
          <w:iCs w:val="0"/>
          <w:caps w:val="0"/>
          <w:color w:val="333333"/>
          <w:spacing w:val="0"/>
          <w:kern w:val="0"/>
          <w:sz w:val="32"/>
          <w:szCs w:val="32"/>
          <w:shd w:val="clear" w:fill="FFFFFF"/>
          <w:lang w:val="en-US" w:eastAsia="zh-CN" w:bidi="ar"/>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六、年初结转和结余：</w:t>
      </w:r>
      <w:r>
        <w:rPr>
          <w:rFonts w:hint="eastAsia" w:ascii="仿宋" w:hAnsi="仿宋" w:eastAsia="仿宋" w:cs="仿宋"/>
          <w:i w:val="0"/>
          <w:iCs w:val="0"/>
          <w:caps w:val="0"/>
          <w:color w:val="333333"/>
          <w:spacing w:val="0"/>
          <w:kern w:val="0"/>
          <w:sz w:val="32"/>
          <w:szCs w:val="32"/>
          <w:shd w:val="clear" w:fill="FFFFFF"/>
          <w:lang w:val="en-US" w:eastAsia="zh-CN" w:bidi="ar"/>
        </w:rPr>
        <w:t>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七、结余分配：</w:t>
      </w:r>
      <w:r>
        <w:rPr>
          <w:rFonts w:hint="eastAsia" w:ascii="仿宋" w:hAnsi="仿宋" w:eastAsia="仿宋" w:cs="仿宋"/>
          <w:i w:val="0"/>
          <w:iCs w:val="0"/>
          <w:caps w:val="0"/>
          <w:color w:val="333333"/>
          <w:spacing w:val="0"/>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八、年末结转和结余：</w:t>
      </w:r>
      <w:r>
        <w:rPr>
          <w:rFonts w:hint="eastAsia" w:ascii="仿宋" w:hAnsi="仿宋" w:eastAsia="仿宋" w:cs="仿宋"/>
          <w:i w:val="0"/>
          <w:iCs w:val="0"/>
          <w:caps w:val="0"/>
          <w:color w:val="333333"/>
          <w:spacing w:val="0"/>
          <w:kern w:val="0"/>
          <w:sz w:val="32"/>
          <w:szCs w:val="32"/>
          <w:shd w:val="clear" w:fill="FFFFFF"/>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九、基本支出：</w:t>
      </w:r>
      <w:r>
        <w:rPr>
          <w:rFonts w:hint="eastAsia" w:ascii="仿宋" w:hAnsi="仿宋" w:eastAsia="仿宋" w:cs="仿宋"/>
          <w:i w:val="0"/>
          <w:iCs w:val="0"/>
          <w:caps w:val="0"/>
          <w:color w:val="333333"/>
          <w:spacing w:val="0"/>
          <w:kern w:val="0"/>
          <w:sz w:val="32"/>
          <w:szCs w:val="32"/>
          <w:shd w:val="clear" w:fill="FFFFFF"/>
          <w:lang w:val="en-US" w:eastAsia="zh-CN" w:bidi="ar"/>
        </w:rPr>
        <w:t>指为保障机构正常运转、完成日常工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十、项目支出：</w:t>
      </w:r>
      <w:r>
        <w:rPr>
          <w:rFonts w:hint="eastAsia" w:ascii="仿宋" w:hAnsi="仿宋" w:eastAsia="仿宋" w:cs="仿宋"/>
          <w:i w:val="0"/>
          <w:iCs w:val="0"/>
          <w:caps w:val="0"/>
          <w:color w:val="333333"/>
          <w:spacing w:val="0"/>
          <w:kern w:val="0"/>
          <w:sz w:val="32"/>
          <w:szCs w:val="32"/>
          <w:shd w:val="clear" w:fill="FFFFFF"/>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十一、经营支出：</w:t>
      </w:r>
      <w:r>
        <w:rPr>
          <w:rFonts w:hint="eastAsia" w:ascii="仿宋" w:hAnsi="仿宋" w:eastAsia="仿宋" w:cs="仿宋"/>
          <w:i w:val="0"/>
          <w:iCs w:val="0"/>
          <w:caps w:val="0"/>
          <w:color w:val="333333"/>
          <w:spacing w:val="0"/>
          <w:kern w:val="0"/>
          <w:sz w:val="32"/>
          <w:szCs w:val="32"/>
          <w:shd w:val="clear" w:fill="FFFFFF"/>
          <w:lang w:val="en-US" w:eastAsia="zh-CN" w:bidi="ar"/>
        </w:rPr>
        <w:t>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十二、“三公”经费：</w:t>
      </w:r>
      <w:r>
        <w:rPr>
          <w:rFonts w:hint="eastAsia" w:ascii="仿宋" w:hAnsi="仿宋" w:eastAsia="仿宋" w:cs="仿宋"/>
          <w:i w:val="0"/>
          <w:iCs w:val="0"/>
          <w:caps w:val="0"/>
          <w:color w:val="333333"/>
          <w:spacing w:val="0"/>
          <w:kern w:val="0"/>
          <w:sz w:val="32"/>
          <w:szCs w:val="32"/>
          <w:shd w:val="clear" w:fill="FFFFFF"/>
          <w:lang w:val="en-US" w:eastAsia="zh-CN" w:bidi="ar"/>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shd w:val="clear" w:fill="FFFFFF"/>
          <w:lang w:val="en-US" w:eastAsia="zh-CN" w:bidi="ar"/>
        </w:rPr>
        <w:t>十三、机关运行经费：</w:t>
      </w:r>
      <w:r>
        <w:rPr>
          <w:rFonts w:hint="eastAsia" w:ascii="仿宋" w:hAnsi="仿宋" w:eastAsia="仿宋" w:cs="仿宋"/>
          <w:i w:val="0"/>
          <w:iCs w:val="0"/>
          <w:caps w:val="0"/>
          <w:color w:val="333333"/>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A8A59-D7A1-41A6-A2E4-E7274B2E17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8FE53B9-CD6A-4107-8305-517158DCC76A}"/>
  </w:font>
  <w:font w:name="方正仿宋简体">
    <w:panose1 w:val="03000509000000000000"/>
    <w:charset w:val="86"/>
    <w:family w:val="auto"/>
    <w:pitch w:val="default"/>
    <w:sig w:usb0="00000001" w:usb1="080E0000" w:usb2="00000000" w:usb3="00000000" w:csb0="00040000" w:csb1="00000000"/>
    <w:embedRegular r:id="rId3" w:fontKey="{BD94C772-6A7F-437B-B145-E2D9F9047DA6}"/>
  </w:font>
  <w:font w:name="微软雅黑">
    <w:panose1 w:val="020B0503020204020204"/>
    <w:charset w:val="86"/>
    <w:family w:val="auto"/>
    <w:pitch w:val="default"/>
    <w:sig w:usb0="80000287" w:usb1="2ACF3C50" w:usb2="00000016" w:usb3="00000000" w:csb0="0004001F" w:csb1="00000000"/>
    <w:embedRegular r:id="rId4" w:fontKey="{7462F762-A7E3-458D-8DB4-11EC838BEDE1}"/>
  </w:font>
  <w:font w:name="仿宋">
    <w:panose1 w:val="02010609060101010101"/>
    <w:charset w:val="86"/>
    <w:family w:val="auto"/>
    <w:pitch w:val="default"/>
    <w:sig w:usb0="800002BF" w:usb1="38CF7CFA" w:usb2="00000016" w:usb3="00000000" w:csb0="00040001" w:csb1="00000000"/>
    <w:embedRegular r:id="rId5" w:fontKey="{E669D790-7A88-4E84-8838-2BCBE789C5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C1773"/>
    <w:multiLevelType w:val="singleLevel"/>
    <w:tmpl w:val="E98C1773"/>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YmQwMDBlMGUzMzNjYTM1YjY4MzdhNDcwMDMwMTk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4904C6F"/>
    <w:rsid w:val="10CB399A"/>
    <w:rsid w:val="138617F5"/>
    <w:rsid w:val="390A051C"/>
    <w:rsid w:val="3AA36C71"/>
    <w:rsid w:val="478649F3"/>
    <w:rsid w:val="4CEE7197"/>
    <w:rsid w:val="5799456B"/>
    <w:rsid w:val="5D8A6083"/>
    <w:rsid w:val="61427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4056</Words>
  <Characters>4318</Characters>
  <Lines>57</Lines>
  <Paragraphs>16</Paragraphs>
  <TotalTime>5</TotalTime>
  <ScaleCrop>false</ScaleCrop>
  <LinksUpToDate>false</LinksUpToDate>
  <CharactersWithSpaces>4326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天行健</cp:lastModifiedBy>
  <cp:lastPrinted>2021-07-28T00:12:00Z</cp:lastPrinted>
  <dcterms:modified xsi:type="dcterms:W3CDTF">2023-11-27T08:05:16Z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6FB23E9BB9904EEE91FB0B911368B653_13</vt:lpwstr>
  </property>
</Properties>
</file>