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_GBK" w:hAnsi="方正小标宋_GBK" w:eastAsia="方正小标宋_GBK" w:cs="方正小标宋_GBK"/>
          <w:b w:val="0"/>
          <w:bCs/>
          <w:sz w:val="44"/>
          <w:szCs w:val="44"/>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_GBK" w:hAnsi="方正小标宋_GBK" w:eastAsia="方正小标宋_GBK" w:cs="方正小标宋_GBK"/>
          <w:b w:val="0"/>
          <w:bCs/>
          <w:sz w:val="44"/>
          <w:szCs w:val="44"/>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_GBK" w:hAnsi="方正小标宋_GBK" w:eastAsia="方正小标宋_GBK" w:cs="方正小标宋_GBK"/>
          <w:b w:val="0"/>
          <w:bCs/>
          <w:sz w:val="44"/>
          <w:szCs w:val="44"/>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_GBK" w:hAnsi="方正小标宋_GBK" w:eastAsia="方正小标宋_GBK" w:cs="方正小标宋_GBK"/>
          <w:b w:val="0"/>
          <w:bCs/>
          <w:sz w:val="44"/>
          <w:szCs w:val="44"/>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_GBK" w:hAnsi="方正小标宋_GBK" w:eastAsia="方正小标宋_GBK" w:cs="方正小标宋_GBK"/>
          <w:b w:val="0"/>
          <w:bCs/>
          <w:sz w:val="44"/>
          <w:szCs w:val="44"/>
          <w:highlight w:val="none"/>
          <w:lang w:val="en-US" w:eastAsia="zh-CN"/>
        </w:rPr>
      </w:pPr>
      <w:r>
        <w:rPr>
          <w:rStyle w:val="9"/>
          <w:rFonts w:hint="eastAsia" w:ascii="方正小标宋_GBK" w:hAnsi="方正小标宋_GBK" w:eastAsia="方正小标宋_GBK" w:cs="方正小标宋_GBK"/>
          <w:b w:val="0"/>
          <w:bCs/>
          <w:sz w:val="44"/>
          <w:szCs w:val="44"/>
          <w:highlight w:val="none"/>
          <w:lang w:val="en-US" w:eastAsia="zh-CN"/>
        </w:rPr>
        <w:t>沅江市医疗保障局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ascii="方正小标宋_GBK" w:hAnsi="方正小标宋_GBK" w:eastAsia="方正小标宋_GBK" w:cs="方正小标宋_GBK"/>
          <w:b w:val="0"/>
          <w:bCs/>
          <w:sz w:val="44"/>
          <w:szCs w:val="44"/>
          <w:highlight w:val="none"/>
          <w:lang w:eastAsia="zh-CN"/>
        </w:rPr>
      </w:pPr>
      <w:r>
        <w:rPr>
          <w:rStyle w:val="9"/>
          <w:rFonts w:hint="eastAsia" w:ascii="方正小标宋_GBK" w:hAnsi="方正小标宋_GBK" w:eastAsia="方正小标宋_GBK" w:cs="方正小标宋_GBK"/>
          <w:b w:val="0"/>
          <w:bCs/>
          <w:sz w:val="44"/>
          <w:szCs w:val="44"/>
          <w:highlight w:val="none"/>
        </w:rPr>
        <w:t>关于</w:t>
      </w:r>
      <w:r>
        <w:rPr>
          <w:rStyle w:val="9"/>
          <w:rFonts w:hint="eastAsia" w:ascii="方正小标宋_GBK" w:hAnsi="方正小标宋_GBK" w:eastAsia="方正小标宋_GBK" w:cs="方正小标宋_GBK"/>
          <w:b w:val="0"/>
          <w:bCs/>
          <w:sz w:val="44"/>
          <w:szCs w:val="44"/>
          <w:highlight w:val="none"/>
          <w:lang w:eastAsia="zh-CN"/>
        </w:rPr>
        <w:t>转</w:t>
      </w:r>
      <w:r>
        <w:rPr>
          <w:rStyle w:val="9"/>
          <w:rFonts w:hint="eastAsia" w:ascii="方正小标宋_GBK" w:hAnsi="方正小标宋_GBK" w:eastAsia="方正小标宋_GBK" w:cs="方正小标宋_GBK"/>
          <w:b w:val="0"/>
          <w:bCs/>
          <w:sz w:val="44"/>
          <w:szCs w:val="44"/>
          <w:highlight w:val="none"/>
        </w:rPr>
        <w:t>发</w:t>
      </w:r>
      <w:r>
        <w:rPr>
          <w:rStyle w:val="9"/>
          <w:rFonts w:hint="eastAsia" w:ascii="方正小标宋_GBK" w:hAnsi="方正小标宋_GBK" w:eastAsia="方正小标宋_GBK" w:cs="方正小标宋_GBK"/>
          <w:b w:val="0"/>
          <w:bCs/>
          <w:sz w:val="44"/>
          <w:szCs w:val="44"/>
          <w:highlight w:val="none"/>
          <w:lang w:eastAsia="zh-CN"/>
        </w:rPr>
        <w:t>《湖南省医疗保障局</w:t>
      </w:r>
      <w:r>
        <w:rPr>
          <w:rStyle w:val="9"/>
          <w:rFonts w:hint="eastAsia" w:ascii="方正小标宋_GBK" w:hAnsi="方正小标宋_GBK" w:eastAsia="方正小标宋_GBK" w:cs="方正小标宋_GBK"/>
          <w:b w:val="0"/>
          <w:bCs/>
          <w:sz w:val="44"/>
          <w:szCs w:val="44"/>
          <w:highlight w:val="none"/>
          <w:lang w:val="en-US" w:eastAsia="zh-CN"/>
        </w:rPr>
        <w:t xml:space="preserve"> </w:t>
      </w:r>
      <w:r>
        <w:rPr>
          <w:rStyle w:val="9"/>
          <w:rFonts w:hint="eastAsia" w:ascii="方正小标宋_GBK" w:hAnsi="方正小标宋_GBK" w:eastAsia="方正小标宋_GBK" w:cs="方正小标宋_GBK"/>
          <w:b w:val="0"/>
          <w:bCs/>
          <w:sz w:val="44"/>
          <w:szCs w:val="44"/>
          <w:highlight w:val="none"/>
          <w:lang w:eastAsia="zh-CN"/>
        </w:rPr>
        <w:t>关于印发</w:t>
      </w:r>
      <w:r>
        <w:rPr>
          <w:rStyle w:val="9"/>
          <w:rFonts w:hint="eastAsia" w:ascii="微软雅黑" w:hAnsi="微软雅黑" w:eastAsia="微软雅黑" w:cs="微软雅黑"/>
          <w:b w:val="0"/>
          <w:bCs/>
          <w:sz w:val="44"/>
          <w:szCs w:val="44"/>
          <w:highlight w:val="none"/>
          <w:lang w:eastAsia="zh-CN"/>
        </w:rPr>
        <w:t>〈</w:t>
      </w:r>
      <w:r>
        <w:rPr>
          <w:rStyle w:val="9"/>
          <w:rFonts w:hint="eastAsia" w:ascii="方正小标宋_GBK" w:hAnsi="方正小标宋_GBK" w:eastAsia="方正小标宋_GBK" w:cs="方正小标宋_GBK"/>
          <w:b w:val="0"/>
          <w:bCs/>
          <w:sz w:val="44"/>
          <w:szCs w:val="44"/>
          <w:highlight w:val="none"/>
        </w:rPr>
        <w:t>湖南省医疗保障基金使用监督管理行政处罚裁量基准适用办法</w:t>
      </w:r>
      <w:r>
        <w:rPr>
          <w:rStyle w:val="9"/>
          <w:rFonts w:hint="eastAsia" w:ascii="微软雅黑" w:hAnsi="微软雅黑" w:eastAsia="微软雅黑" w:cs="微软雅黑"/>
          <w:b w:val="0"/>
          <w:bCs/>
          <w:sz w:val="44"/>
          <w:szCs w:val="44"/>
          <w:highlight w:val="none"/>
          <w:lang w:eastAsia="zh-CN"/>
        </w:rPr>
        <w:t>〉</w:t>
      </w:r>
      <w:r>
        <w:rPr>
          <w:rStyle w:val="9"/>
          <w:rFonts w:hint="eastAsia" w:ascii="方正小标宋_GBK" w:hAnsi="方正小标宋_GBK" w:eastAsia="方正小标宋_GBK" w:cs="方正小标宋_GBK"/>
          <w:b w:val="0"/>
          <w:bCs/>
          <w:sz w:val="44"/>
          <w:szCs w:val="44"/>
          <w:highlight w:val="none"/>
        </w:rPr>
        <w:t>的通知</w:t>
      </w:r>
      <w:r>
        <w:rPr>
          <w:rStyle w:val="9"/>
          <w:rFonts w:hint="eastAsia" w:ascii="方正小标宋_GBK" w:hAnsi="方正小标宋_GBK" w:eastAsia="方正小标宋_GBK" w:cs="方正小标宋_GBK"/>
          <w:b w:val="0"/>
          <w:bCs/>
          <w:sz w:val="44"/>
          <w:szCs w:val="44"/>
          <w:highlight w:val="none"/>
          <w:lang w:eastAsia="zh-CN"/>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rFonts w:hint="eastAsia" w:ascii="宋体" w:hAnsi="宋体" w:eastAsia="宋体" w:cs="宋体"/>
          <w:sz w:val="44"/>
          <w:szCs w:val="44"/>
          <w:highlight w:val="none"/>
        </w:rPr>
      </w:pPr>
    </w:p>
    <w:p>
      <w:pPr>
        <w:keepNext w:val="0"/>
        <w:keepLines w:val="0"/>
        <w:pageBreakBefore w:val="0"/>
        <w:widowControl w:val="0"/>
        <w:kinsoku/>
        <w:overflowPunct/>
        <w:topLinePunct/>
        <w:bidi w:val="0"/>
        <w:spacing w:line="580" w:lineRule="exact"/>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局属各股室、医保事务中心、</w:t>
      </w:r>
      <w:r>
        <w:rPr>
          <w:rFonts w:hint="eastAsia" w:ascii="方正仿宋简体" w:hAnsi="方正仿宋简体" w:eastAsia="方正仿宋简体" w:cs="方正仿宋简体"/>
          <w:sz w:val="32"/>
          <w:szCs w:val="32"/>
          <w:lang w:eastAsia="zh-CN"/>
        </w:rPr>
        <w:t>医保</w:t>
      </w:r>
      <w:r>
        <w:rPr>
          <w:rFonts w:hint="eastAsia" w:ascii="方正仿宋简体" w:hAnsi="方正仿宋简体" w:eastAsia="方正仿宋简体" w:cs="方正仿宋简体"/>
          <w:sz w:val="32"/>
          <w:szCs w:val="32"/>
        </w:rPr>
        <w:t>稽核中心：</w:t>
      </w:r>
    </w:p>
    <w:p>
      <w:pPr>
        <w:keepNext w:val="0"/>
        <w:keepLines w:val="0"/>
        <w:pageBreakBefore w:val="0"/>
        <w:widowControl w:val="0"/>
        <w:kinsoku/>
        <w:wordWrap w:val="0"/>
        <w:overflowPunct w:val="0"/>
        <w:topLinePunct/>
        <w:autoSpaceDE/>
        <w:autoSpaceDN/>
        <w:bidi w:val="0"/>
        <w:adjustRightInd w:val="0"/>
        <w:snapToGrid w:val="0"/>
        <w:spacing w:line="560" w:lineRule="exact"/>
        <w:ind w:right="0" w:firstLine="640" w:firstLineChars="200"/>
        <w:jc w:val="both"/>
        <w:textAlignment w:val="baseline"/>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现将湖南省医疗保障局 关于印发</w:t>
      </w:r>
      <w:r>
        <w:rPr>
          <w:rFonts w:hint="eastAsia" w:ascii="仿宋" w:hAnsi="仿宋" w:eastAsia="仿宋" w:cs="仿宋"/>
          <w:b w:val="0"/>
          <w:bCs w:val="0"/>
          <w:sz w:val="32"/>
          <w:szCs w:val="32"/>
          <w:highlight w:val="none"/>
        </w:rPr>
        <w:t>《湖南省医疗保障基金使用监督管理行政处罚裁量基准适用办法》的通知（湘医保发</w:t>
      </w: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kinsoku/>
        <w:wordWrap w:val="0"/>
        <w:overflowPunct w:val="0"/>
        <w:topLinePunct/>
        <w:autoSpaceDE/>
        <w:autoSpaceDN/>
        <w:bidi w:val="0"/>
        <w:adjustRightInd w:val="0"/>
        <w:snapToGrid w:val="0"/>
        <w:spacing w:line="560" w:lineRule="exact"/>
        <w:ind w:right="0"/>
        <w:jc w:val="both"/>
        <w:textAlignment w:val="baseline"/>
        <w:rPr>
          <w:rFonts w:hint="eastAsia" w:ascii="仿宋" w:hAnsi="仿宋" w:eastAsia="仿宋" w:cs="仿宋"/>
          <w:b/>
          <w:bCs/>
          <w:color w:val="FF0000"/>
          <w:spacing w:val="0"/>
          <w:w w:val="100"/>
          <w:sz w:val="32"/>
          <w:szCs w:val="32"/>
          <w:highlight w:val="none"/>
        </w:rPr>
      </w:pPr>
      <w:r>
        <w:rPr>
          <w:rFonts w:hint="eastAsia" w:ascii="仿宋" w:hAnsi="仿宋" w:eastAsia="仿宋" w:cs="仿宋"/>
          <w:b w:val="0"/>
          <w:bCs w:val="0"/>
          <w:sz w:val="32"/>
          <w:szCs w:val="32"/>
          <w:highlight w:val="none"/>
        </w:rPr>
        <w:t>〔2021〕66号）</w:t>
      </w:r>
      <w:r>
        <w:rPr>
          <w:rFonts w:hint="eastAsia" w:ascii="仿宋" w:hAnsi="仿宋" w:eastAsia="仿宋" w:cs="仿宋"/>
          <w:b w:val="0"/>
          <w:bCs w:val="0"/>
          <w:sz w:val="32"/>
          <w:szCs w:val="32"/>
          <w:highlight w:val="none"/>
          <w:lang w:eastAsia="zh-CN"/>
        </w:rPr>
        <w:t>转发给你们</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根据相关要求，</w:t>
      </w:r>
      <w:r>
        <w:rPr>
          <w:rFonts w:hint="eastAsia" w:ascii="仿宋" w:hAnsi="仿宋" w:eastAsia="仿宋" w:cs="仿宋"/>
          <w:b w:val="0"/>
          <w:bCs w:val="0"/>
          <w:sz w:val="32"/>
          <w:szCs w:val="32"/>
          <w:highlight w:val="none"/>
        </w:rPr>
        <w:t>请</w:t>
      </w:r>
      <w:r>
        <w:rPr>
          <w:rFonts w:hint="eastAsia" w:ascii="方正仿宋简体" w:hAnsi="方正仿宋简体" w:eastAsia="方正仿宋简体" w:cs="方正仿宋简体"/>
          <w:sz w:val="32"/>
          <w:szCs w:val="32"/>
        </w:rPr>
        <w:t>各股室、医保事务中心、</w:t>
      </w:r>
      <w:r>
        <w:rPr>
          <w:rFonts w:hint="eastAsia" w:ascii="方正仿宋简体" w:hAnsi="方正仿宋简体" w:eastAsia="方正仿宋简体" w:cs="方正仿宋简体"/>
          <w:sz w:val="32"/>
          <w:szCs w:val="32"/>
          <w:lang w:eastAsia="zh-CN"/>
        </w:rPr>
        <w:t>医保</w:t>
      </w:r>
      <w:r>
        <w:rPr>
          <w:rFonts w:hint="eastAsia" w:ascii="方正仿宋简体" w:hAnsi="方正仿宋简体" w:eastAsia="方正仿宋简体" w:cs="方正仿宋简体"/>
          <w:sz w:val="32"/>
          <w:szCs w:val="32"/>
        </w:rPr>
        <w:t>稽核中心</w:t>
      </w:r>
      <w:r>
        <w:rPr>
          <w:rFonts w:hint="eastAsia" w:ascii="仿宋" w:hAnsi="仿宋" w:eastAsia="仿宋" w:cs="仿宋"/>
          <w:b w:val="0"/>
          <w:bCs w:val="0"/>
          <w:sz w:val="32"/>
          <w:szCs w:val="32"/>
          <w:highlight w:val="none"/>
        </w:rPr>
        <w:t>认真</w:t>
      </w:r>
      <w:r>
        <w:rPr>
          <w:rFonts w:hint="eastAsia" w:ascii="仿宋" w:hAnsi="仿宋" w:eastAsia="仿宋" w:cs="仿宋"/>
          <w:b w:val="0"/>
          <w:bCs w:val="0"/>
          <w:sz w:val="32"/>
          <w:szCs w:val="32"/>
          <w:highlight w:val="none"/>
          <w:lang w:eastAsia="zh-CN"/>
        </w:rPr>
        <w:t>遵照</w:t>
      </w:r>
      <w:r>
        <w:rPr>
          <w:rFonts w:hint="eastAsia" w:ascii="仿宋" w:hAnsi="仿宋" w:eastAsia="仿宋" w:cs="仿宋"/>
          <w:b w:val="0"/>
          <w:bCs w:val="0"/>
          <w:sz w:val="32"/>
          <w:szCs w:val="32"/>
          <w:highlight w:val="none"/>
        </w:rPr>
        <w:t>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仿宋" w:hAnsi="仿宋" w:eastAsia="仿宋" w:cs="仿宋"/>
          <w:b w:val="0"/>
          <w:bCs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both"/>
        <w:textAlignment w:val="auto"/>
        <w:rPr>
          <w:rFonts w:hint="eastAsia" w:ascii="仿宋" w:hAnsi="仿宋" w:eastAsia="仿宋" w:cs="仿宋"/>
          <w:b w:val="0"/>
          <w:bCs w:val="0"/>
          <w:sz w:val="32"/>
          <w:szCs w:val="32"/>
          <w:lang w:val="en-US" w:eastAsia="zh-CN"/>
        </w:rPr>
      </w:pPr>
    </w:p>
    <w:p>
      <w:pPr>
        <w:spacing w:line="8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沅江市医疗保障局</w:t>
      </w:r>
    </w:p>
    <w:p>
      <w:pPr>
        <w:spacing w:line="8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 xml:space="preserve">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eastAsia" w:ascii="方正小标宋_GBK" w:hAnsi="方正小标宋_GBK" w:eastAsia="方正小标宋_GBK" w:cs="方正小标宋_GBK"/>
          <w:b w:val="0"/>
          <w:bCs/>
          <w:sz w:val="44"/>
          <w:szCs w:val="44"/>
        </w:rPr>
      </w:pPr>
      <w:r>
        <w:rPr>
          <w:rStyle w:val="9"/>
          <w:rFonts w:hint="eastAsia" w:ascii="方正小标宋_GBK" w:hAnsi="方正小标宋_GBK" w:eastAsia="方正小标宋_GBK" w:cs="方正小标宋_GBK"/>
          <w:b w:val="0"/>
          <w:bCs/>
          <w:sz w:val="44"/>
          <w:szCs w:val="44"/>
        </w:rPr>
        <w:t>湖南省医疗保障基金使用监督管理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eastAsia"/>
          <w:sz w:val="32"/>
          <w:szCs w:val="32"/>
        </w:rPr>
      </w:pPr>
      <w:r>
        <w:rPr>
          <w:rStyle w:val="9"/>
          <w:rFonts w:hint="eastAsia" w:ascii="方正小标宋_GBK" w:hAnsi="方正小标宋_GBK" w:eastAsia="方正小标宋_GBK" w:cs="方正小标宋_GBK"/>
          <w:b w:val="0"/>
          <w:bCs/>
          <w:sz w:val="44"/>
          <w:szCs w:val="44"/>
        </w:rPr>
        <w:t>行政处罚裁量基准适用办法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9"/>
          <w:rFonts w:hint="eastAsia"/>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rPr>
          <w:rStyle w:val="9"/>
          <w:rFonts w:hint="eastAsia" w:ascii="方正仿宋简体" w:hAnsi="方正仿宋简体" w:eastAsia="方正仿宋简体" w:cs="方正仿宋简体"/>
          <w:b w:val="0"/>
          <w:bCs/>
          <w:sz w:val="32"/>
          <w:szCs w:val="32"/>
        </w:rPr>
      </w:pPr>
      <w:r>
        <w:rPr>
          <w:rStyle w:val="9"/>
          <w:rFonts w:hint="eastAsia" w:ascii="方正小标宋_GBK" w:hAnsi="方正小标宋_GBK" w:eastAsia="方正小标宋_GBK" w:cs="方正小标宋_GBK"/>
          <w:b w:val="0"/>
          <w:bCs/>
          <w:sz w:val="32"/>
          <w:szCs w:val="32"/>
        </w:rPr>
        <w:t>第一章  一般规定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第一条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为规范医疗保障基金使用监督管理行政处罚裁量权，根据《中华人民共和国行政处罚法》《医疗保障基金使用监督管理条例》等法律法规和《湖南省规范行政裁量权办法》(湖南省人民政府令244号)、《规范医疗保障基金使用监督管理行政处罚裁量权办法》(医保发〔2021〕35号)有关规定，结合工作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第二条</w:t>
      </w:r>
      <w:r>
        <w:rPr>
          <w:rStyle w:val="9"/>
          <w:rFonts w:hint="eastAsia" w:ascii="方正仿宋简体" w:hAnsi="方正仿宋简体" w:eastAsia="方正仿宋简体" w:cs="方正仿宋简体"/>
          <w:b/>
          <w:bCs w:val="0"/>
          <w:sz w:val="32"/>
          <w:szCs w:val="32"/>
          <w:lang w:val="en-US" w:eastAsia="zh-CN"/>
        </w:rPr>
        <w:t xml:space="preserve"> </w:t>
      </w:r>
      <w:r>
        <w:rPr>
          <w:rStyle w:val="9"/>
          <w:rFonts w:hint="eastAsia" w:ascii="方正仿宋简体" w:hAnsi="方正仿宋简体" w:eastAsia="方正仿宋简体" w:cs="方正仿宋简体"/>
          <w:b w:val="0"/>
          <w:bCs/>
          <w:sz w:val="32"/>
          <w:szCs w:val="32"/>
        </w:rPr>
        <w:t>本办法所称医疗保障基金使用监督管理行政处罚裁量权，是指医疗保障行政部门在实施医疗保障基金使用监督管理行政处罚时，根据法律、法规、规章等规定，综合考虑违法行为的事实、性质、情节、社会危害程度以及当事人主观过错等因素，决定是否给予行政处罚、给予行政处罚种类及处罚幅度的权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本办法所称医疗保障基金使用监督管理行政处罚裁量基准，是指医疗保障行政部门对法律、法规、规章规定的具有行政裁量权的内容进行细化、量化，从而形成的具体适用规则和标准。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第三条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医疗保障行政部门行使行政处罚裁量权，应当坚持公正、公开原则，坚持处罚与教育相结合原则，坚持处罚法定、程序正当的原则，依法合理行使裁量权。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第四条</w:t>
      </w:r>
      <w:r>
        <w:rPr>
          <w:rStyle w:val="9"/>
          <w:rFonts w:hint="eastAsia" w:ascii="方正仿宋简体" w:hAnsi="方正仿宋简体" w:eastAsia="方正仿宋简体" w:cs="方正仿宋简体"/>
          <w:b w:val="0"/>
          <w:bCs/>
          <w:sz w:val="32"/>
          <w:szCs w:val="32"/>
        </w:rPr>
        <w:t> 医疗保障行政部门行使行政处罚裁量权应当符合法律目的，排除不相关因素的干扰，所采取的措施和手段应当必要、适当。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第五条</w:t>
      </w:r>
      <w:r>
        <w:rPr>
          <w:rStyle w:val="9"/>
          <w:rFonts w:hint="eastAsia" w:ascii="方正仿宋简体" w:hAnsi="方正仿宋简体" w:eastAsia="方正仿宋简体" w:cs="方正仿宋简体"/>
          <w:b w:val="0"/>
          <w:bCs/>
          <w:sz w:val="32"/>
          <w:szCs w:val="32"/>
        </w:rPr>
        <w:t> 医疗保障行政部门行使行政处罚裁量权，应当以事实为依据，行政处罚的种类和幅度应当与违法行为的事实、性质、情节、社会危害程度相当，与违法行为发生地的经济社会发展水平相适应。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违法事实、性质、情节及社会危害后果等相同或相近的违法行为，同一行政区域行政处罚的种类和幅度应当基本一致。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9"/>
          <w:rFonts w:hint="eastAsia" w:ascii="方正小标宋_GBK" w:hAnsi="方正小标宋_GBK" w:eastAsia="方正小标宋_GBK" w:cs="方正小标宋_GBK"/>
          <w:b w:val="0"/>
          <w:bCs/>
          <w:sz w:val="32"/>
          <w:szCs w:val="32"/>
        </w:rPr>
      </w:pPr>
      <w:r>
        <w:rPr>
          <w:rStyle w:val="9"/>
          <w:rFonts w:hint="eastAsia" w:ascii="方正小标宋_GBK" w:hAnsi="方正小标宋_GBK" w:eastAsia="方正小标宋_GBK" w:cs="方正小标宋_GBK"/>
          <w:b w:val="0"/>
          <w:bCs/>
          <w:sz w:val="32"/>
          <w:szCs w:val="32"/>
        </w:rPr>
        <w:t>第二章 行政处罚裁量档次的划分及其适用情形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第六条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根据违反医疗保障基金使用监督管理法律、法规、规章行为的情节和社会危害程度轻重，将违法行为划为“轻微违法行为”“一般违法行为”“较重违法行为”“严重违法行为”四个档次，针对各类违法行为分别设定从轻处罚、一般处罚、较重处罚、从重处罚四个裁量档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符合法定不予处罚、减轻处罚条件的，依法不予处罚、减轻处罚。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第七条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有下列情形之一的，应当不予处罚：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(一)违法事实不清，证据不足的；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(二)违法行为轻微并及时改正，没有造成危害后果的；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(三)未满14周岁的未成年人实施违法行为的；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(四)精神病人、智力残疾人在不能辨认或控制自己行为时实施违法行为的；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(五)除法律、行政法规另有规定外，当事人有证据足以证明没有主观过错的；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(六)法律、法规、规章规定不予处罚的其他情形。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违法行为在二年内未被发现的，不再给予行政处罚；涉及公民生命健康安全、金融安全且有危害后果的，上述期限延长至五年。法律另有规定的除外。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第八条</w:t>
      </w:r>
      <w:r>
        <w:rPr>
          <w:rStyle w:val="9"/>
          <w:rFonts w:hint="eastAsia" w:ascii="方正仿宋简体" w:hAnsi="方正仿宋简体" w:eastAsia="方正仿宋简体" w:cs="方正仿宋简体"/>
          <w:b w:val="0"/>
          <w:bCs/>
          <w:sz w:val="32"/>
          <w:szCs w:val="32"/>
        </w:rPr>
        <w:t> 有下列情形之一的，医疗保障行政部门应当从轻或减轻处罚：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(一)已满十四周岁不满十八周岁的未成年人实施违法行为的；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(二)主动消除或减轻基金使用违法行为危害后果的；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(三)受他人胁迫或者诱骗实施违法行为的；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(四)主动供述行政机关尚未掌握的基金使用违法行为的关键线索或证据，并经查证属实的；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(五)积极配合行政机关查处违法行为、如实陈述违法事实并主动提供证据材料的；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(六)主动投案向行政机关如实交代违法行为的；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(七)法律、法规、规章规定应当从轻或减轻处罚的其他情形。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第九条</w:t>
      </w:r>
      <w:r>
        <w:rPr>
          <w:rStyle w:val="9"/>
          <w:rFonts w:hint="eastAsia" w:ascii="方正仿宋简体" w:hAnsi="方正仿宋简体" w:eastAsia="方正仿宋简体" w:cs="方正仿宋简体"/>
          <w:b w:val="0"/>
          <w:bCs/>
          <w:sz w:val="32"/>
          <w:szCs w:val="32"/>
        </w:rPr>
        <w:t> 有下列情形之一的，医疗保障行政部门可以从轻或减轻处罚：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(一)尚未完全丧失辨认或者控制自己行为能力的精神病人、智力残疾人有违法行为的；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(二)初次违法且危害后果轻微并及时改正的；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(三)法律、法规、规章规定可以从轻或减轻处罚的其他情形。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第十条</w:t>
      </w:r>
      <w:r>
        <w:rPr>
          <w:rStyle w:val="9"/>
          <w:rFonts w:hint="eastAsia" w:ascii="方正仿宋简体" w:hAnsi="方正仿宋简体" w:eastAsia="方正仿宋简体" w:cs="方正仿宋简体"/>
          <w:b w:val="0"/>
          <w:bCs/>
          <w:sz w:val="32"/>
          <w:szCs w:val="32"/>
        </w:rPr>
        <w:t> 有下列情形之一的，医疗保障行政部门应当从重处罚：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(一)违法情节恶劣，造成严重危害后果的；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(二)责令改正拒不改正，或者一年内实施两次以上同一性质违法行为的；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(三)妨碍、阻挠或者抗拒执法人员依法调查、处理其违法行为的；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(四)故意转移、隐匿、毁坏或伪造证据，或者对举报投诉人、证人打击报复的；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(五)法律、法规、规章规定应当从重处罚的其他情形。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9"/>
          <w:rFonts w:hint="eastAsia" w:ascii="方正小标宋_GBK" w:hAnsi="方正小标宋_GBK" w:eastAsia="方正小标宋_GBK" w:cs="方正小标宋_GBK"/>
          <w:b w:val="0"/>
          <w:bCs/>
          <w:sz w:val="32"/>
          <w:szCs w:val="32"/>
        </w:rPr>
      </w:pPr>
      <w:r>
        <w:rPr>
          <w:rStyle w:val="9"/>
          <w:rFonts w:hint="eastAsia" w:ascii="方正小标宋_GBK" w:hAnsi="方正小标宋_GBK" w:eastAsia="方正小标宋_GBK" w:cs="方正小标宋_GBK"/>
          <w:b w:val="0"/>
          <w:bCs/>
          <w:sz w:val="32"/>
          <w:szCs w:val="32"/>
        </w:rPr>
        <w:t>第三章 行政处罚裁量权的实施规则及程序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第十一条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医疗保障行政部门给予从轻处罚、一般处罚、较重处罚、从重处罚的，应当在法定行政处罚种类和幅度内，选择相应的行政处罚；给予减轻处罚的，依法在法定行政处罚的最低限度以下作出。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第十二条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法律、法规、规章明确规定对行政处罚的种类可以选择单处或者并处的，医疗保障行政部门可以选择适用；法律、法规、规章明确规定应当并处，或者应当先没收违法所得再作其他处罚的，不得选择适用。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第十三条</w:t>
      </w:r>
      <w:r>
        <w:rPr>
          <w:rStyle w:val="9"/>
          <w:rFonts w:hint="eastAsia" w:ascii="方正仿宋简体" w:hAnsi="方正仿宋简体" w:eastAsia="方正仿宋简体" w:cs="方正仿宋简体"/>
          <w:b w:val="0"/>
          <w:bCs/>
          <w:sz w:val="32"/>
          <w:szCs w:val="32"/>
        </w:rPr>
        <w:t> 除法律、法规、规章另有规定外，罚款处罚的数额按照以下标准确定：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(一)罚款为一定幅度的数额，并同时规定了最低罚款数额和最高罚款数额的，从轻处罚应低于最高罚款数额与最低罚款数额的中间值，从重处罚应高于中间值；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(二)罚款为一定金额的倍数，并同时规定了最低罚款倍数和最高罚款倍数的，从轻处罚应低于最低罚款倍数和最高罚款倍数的中间倍数，从重处罚应高于中间倍数。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第十四条</w:t>
      </w:r>
      <w:r>
        <w:rPr>
          <w:rStyle w:val="9"/>
          <w:rFonts w:hint="eastAsia" w:ascii="方正仿宋简体" w:hAnsi="方正仿宋简体" w:eastAsia="方正仿宋简体" w:cs="方正仿宋简体"/>
          <w:b w:val="0"/>
          <w:bCs/>
          <w:sz w:val="32"/>
          <w:szCs w:val="32"/>
        </w:rPr>
        <w:t> 同时具有两个以上从重情节、且不具有从轻或者减轻情节的，应当在违法行为对应的处罚幅度内按最高档次实施处罚。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同时具有两个以上从轻情节、且不具有从重情节的，应当在违法行为对应的处罚幅度内按最低档次实施处罚。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同时具有从重和从轻或减轻情节的，应当根据违法行为的性质和主要情节确定对应的处罚幅度，综合考虑后实施处罚。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第十五条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行政处罚案件调查终结后，需要对违法行为实施行政处罚的，案件承办部门应当制作案件调查终结报告并拟定行政处罚决定书。拟定的行政处罚决定书中应当载明拟作出行政处罚的种类和幅度，并说明行政处罚决定裁量的理由和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第十六条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各级医疗保障行政部门行使行政处罚裁量权时，应当充分保障当事人的知情权、陈述权、申辩权，对当事人提出的事实、理由和证据，要进行复核；当事人提出的事实、理由或者证据成立的，应当采纳。不得因当事人的陈述申辩而加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第十七条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违法行为涉嫌构成犯罪的，医疗保障行政部门应当按照国家和湖南省有关规定移送司法机关依法追究刑事责任，不得以行政处罚代替追究刑事责任。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9"/>
          <w:rFonts w:hint="eastAsia" w:ascii="方正仿宋简体" w:hAnsi="方正仿宋简体" w:eastAsia="方正仿宋简体" w:cs="方正仿宋简体"/>
          <w:b w:val="0"/>
          <w:bCs/>
          <w:sz w:val="32"/>
          <w:szCs w:val="32"/>
        </w:rPr>
      </w:pPr>
      <w:r>
        <w:rPr>
          <w:rStyle w:val="9"/>
          <w:rFonts w:hint="eastAsia" w:ascii="方正小标宋_GBK" w:hAnsi="方正小标宋_GBK" w:eastAsia="方正小标宋_GBK" w:cs="方正小标宋_GBK"/>
          <w:b w:val="0"/>
          <w:bCs/>
          <w:sz w:val="32"/>
          <w:szCs w:val="32"/>
        </w:rPr>
        <w:t>第四章 对行政处罚裁量权行使的监督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第十八条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各级医疗保障行政部门应当健全规范医疗保障基金监管行政处罚裁量权的监督制度，通过集体讨论、法制审核、结果公开等方式加强对行政处罚裁量权行使情况的监督。上级医疗保障行政部门要建立行政执法评议考核、行政处罚案卷评查等制度，加强对下级医疗保障行政部门行政处罚裁量权行使情况的监督检查，发现行政处罚裁量违法或不当的，应当及时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第十九条</w:t>
      </w:r>
      <w:r>
        <w:rPr>
          <w:rStyle w:val="9"/>
          <w:rFonts w:hint="eastAsia" w:ascii="方正仿宋简体" w:hAnsi="方正仿宋简体" w:eastAsia="方正仿宋简体" w:cs="方正仿宋简体"/>
          <w:b w:val="0"/>
          <w:bCs/>
          <w:sz w:val="32"/>
          <w:szCs w:val="32"/>
        </w:rPr>
        <w:t> 医疗保障行政部门行使行政处罚裁量权，不得有下列情形：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(一)违法行为的事实、性质、情节以及社会危害程度与受到的行政处罚相比，畸轻或者畸重的；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(二)在同一时期同类案件中，不同当事人的违法行为相同或者相近，所受行政处罚差别较大的；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(三)依法应当不予行政处罚或者应当从轻、减轻行政处罚的，给予处罚或未从轻、减轻行政处罚的；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val="0"/>
          <w:bCs/>
          <w:sz w:val="32"/>
          <w:szCs w:val="32"/>
        </w:rPr>
        <w:t>(四)其他滥用行政处罚裁量权情形的。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第二十条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因行使行政处罚裁量权不当，导致医疗保障行政处罚显失公正，构成执法过错的，应当限期改正并依照相关规定追究有关人员的过错责任。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方正仿宋简体" w:hAnsi="方正仿宋简体" w:eastAsia="方正仿宋简体" w:cs="方正仿宋简体"/>
          <w:b w:val="0"/>
          <w:bCs/>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9"/>
          <w:rFonts w:hint="eastAsia" w:ascii="方正小标宋_GBK" w:hAnsi="方正小标宋_GBK" w:eastAsia="方正小标宋_GBK" w:cs="方正小标宋_GBK"/>
          <w:b w:val="0"/>
          <w:bCs/>
          <w:sz w:val="32"/>
          <w:szCs w:val="32"/>
        </w:rPr>
      </w:pPr>
      <w:r>
        <w:rPr>
          <w:rStyle w:val="9"/>
          <w:rFonts w:hint="eastAsia" w:ascii="方正小标宋_GBK" w:hAnsi="方正小标宋_GBK" w:eastAsia="方正小标宋_GBK" w:cs="方正小标宋_GBK"/>
          <w:b w:val="0"/>
          <w:bCs/>
          <w:sz w:val="32"/>
          <w:szCs w:val="32"/>
        </w:rPr>
        <w:t>第五章 附</w:t>
      </w:r>
      <w:r>
        <w:rPr>
          <w:rStyle w:val="9"/>
          <w:rFonts w:hint="eastAsia" w:ascii="方正小标宋_GBK" w:hAnsi="方正小标宋_GBK" w:eastAsia="方正小标宋_GBK" w:cs="方正小标宋_GBK"/>
          <w:b w:val="0"/>
          <w:bCs/>
          <w:sz w:val="32"/>
          <w:szCs w:val="32"/>
          <w:lang w:val="en-US" w:eastAsia="zh-CN"/>
        </w:rPr>
        <w:t xml:space="preserve">  </w:t>
      </w:r>
      <w:r>
        <w:rPr>
          <w:rStyle w:val="9"/>
          <w:rFonts w:hint="eastAsia" w:ascii="方正小标宋_GBK" w:hAnsi="方正小标宋_GBK" w:eastAsia="方正小标宋_GBK" w:cs="方正小标宋_GBK"/>
          <w:b w:val="0"/>
          <w:bCs/>
          <w:sz w:val="32"/>
          <w:szCs w:val="32"/>
        </w:rPr>
        <w:t>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bCs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第二十一条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本办法是全省医疗保障行政处罚裁量执行的指导性文件，法律、法规、规章或国家医疗保障局、湖南省人民政府对规范行政处罚裁量权另有规定的，适用其规定。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pPr>
      <w:r>
        <w:rPr>
          <w:rStyle w:val="9"/>
          <w:rFonts w:hint="eastAsia" w:ascii="方正仿宋简体" w:hAnsi="方正仿宋简体" w:eastAsia="方正仿宋简体" w:cs="方正仿宋简体"/>
          <w:b/>
          <w:bCs w:val="0"/>
          <w:sz w:val="32"/>
          <w:szCs w:val="32"/>
        </w:rPr>
        <w:t>第二十二条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湖南省医疗保障局依据本办法制定《湖南省医疗保障基金使用监督管理行政处罚裁量基准》(以下简称《裁量基准》)。《裁量基准》对有关违法行为未作规定或规定不明确的，应当参照本办法的相关要求，结合案件实际，综合考量作出行政处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9"/>
          <w:rFonts w:hint="eastAsia" w:ascii="方正仿宋简体" w:hAnsi="方正仿宋简体" w:eastAsia="方正仿宋简体" w:cs="方正仿宋简体"/>
          <w:b w:val="0"/>
          <w:bCs/>
          <w:sz w:val="32"/>
          <w:szCs w:val="32"/>
        </w:rPr>
        <w:sectPr>
          <w:footerReference r:id="rId3" w:type="default"/>
          <w:pgSz w:w="11906" w:h="16838"/>
          <w:pgMar w:top="2098" w:right="1474" w:bottom="1701" w:left="1587" w:header="851" w:footer="992" w:gutter="0"/>
          <w:pgNumType w:fmt="numberInDash"/>
          <w:cols w:space="425" w:num="1"/>
          <w:docGrid w:type="lines" w:linePitch="312" w:charSpace="0"/>
        </w:sectPr>
      </w:pPr>
      <w:r>
        <w:rPr>
          <w:rStyle w:val="9"/>
          <w:rFonts w:hint="eastAsia" w:ascii="方正仿宋简体" w:hAnsi="方正仿宋简体" w:eastAsia="方正仿宋简体" w:cs="方正仿宋简体"/>
          <w:b/>
          <w:bCs w:val="0"/>
          <w:sz w:val="32"/>
          <w:szCs w:val="32"/>
        </w:rPr>
        <w:t>第二十三条</w:t>
      </w:r>
      <w:r>
        <w:rPr>
          <w:rStyle w:val="9"/>
          <w:rFonts w:hint="eastAsia" w:ascii="方正仿宋简体" w:hAnsi="方正仿宋简体" w:eastAsia="方正仿宋简体" w:cs="方正仿宋简体"/>
          <w:b w:val="0"/>
          <w:bCs/>
          <w:sz w:val="32"/>
          <w:szCs w:val="32"/>
          <w:lang w:val="en-US" w:eastAsia="zh-CN"/>
        </w:rPr>
        <w:t xml:space="preserve"> </w:t>
      </w:r>
      <w:r>
        <w:rPr>
          <w:rStyle w:val="9"/>
          <w:rFonts w:hint="eastAsia" w:ascii="方正仿宋简体" w:hAnsi="方正仿宋简体" w:eastAsia="方正仿宋简体" w:cs="方正仿宋简体"/>
          <w:b w:val="0"/>
          <w:bCs/>
          <w:sz w:val="32"/>
          <w:szCs w:val="32"/>
        </w:rPr>
        <w:t>本办法自2022年2月1日施行，有效期五年。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b/>
          <w:bCs/>
          <w:i w:val="0"/>
          <w:iCs w:val="0"/>
          <w:caps w:val="0"/>
          <w:color w:val="333333"/>
          <w:spacing w:val="0"/>
          <w:sz w:val="44"/>
          <w:szCs w:val="44"/>
          <w:shd w:val="clear" w:fill="FFFFFF"/>
        </w:rPr>
        <w:t>湖南省医疗保障基金使用监督管理行政处罚裁量基准</w:t>
      </w:r>
    </w:p>
    <w:tbl>
      <w:tblPr>
        <w:tblStyle w:val="7"/>
        <w:tblW w:w="13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940"/>
        <w:gridCol w:w="1176"/>
        <w:gridCol w:w="1761"/>
        <w:gridCol w:w="1204"/>
        <w:gridCol w:w="2940"/>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dxa"/>
            <w:vAlign w:val="center"/>
          </w:tcPr>
          <w:p>
            <w:pPr>
              <w:jc w:val="center"/>
              <w:rPr>
                <w:rFonts w:hint="eastAsia" w:eastAsiaTheme="minorEastAsia"/>
                <w:b/>
                <w:bCs/>
                <w:vertAlign w:val="baseline"/>
                <w:lang w:eastAsia="zh-CN"/>
              </w:rPr>
            </w:pPr>
            <w:r>
              <w:rPr>
                <w:rFonts w:hint="eastAsia"/>
                <w:b/>
                <w:bCs/>
                <w:vertAlign w:val="baseline"/>
                <w:lang w:eastAsia="zh-CN"/>
              </w:rPr>
              <w:t>序号</w:t>
            </w:r>
          </w:p>
        </w:tc>
        <w:tc>
          <w:tcPr>
            <w:tcW w:w="2940" w:type="dxa"/>
            <w:vAlign w:val="center"/>
          </w:tcPr>
          <w:p>
            <w:pPr>
              <w:jc w:val="center"/>
              <w:rPr>
                <w:rFonts w:hint="eastAsia" w:eastAsiaTheme="minorEastAsia"/>
                <w:b/>
                <w:bCs/>
                <w:vertAlign w:val="baseline"/>
                <w:lang w:eastAsia="zh-CN"/>
              </w:rPr>
            </w:pPr>
            <w:r>
              <w:rPr>
                <w:rFonts w:hint="eastAsia"/>
                <w:b/>
                <w:bCs/>
                <w:vertAlign w:val="baseline"/>
                <w:lang w:eastAsia="zh-CN"/>
              </w:rPr>
              <w:t>违法行为</w:t>
            </w:r>
          </w:p>
        </w:tc>
        <w:tc>
          <w:tcPr>
            <w:tcW w:w="1176" w:type="dxa"/>
            <w:vAlign w:val="center"/>
          </w:tcPr>
          <w:p>
            <w:pPr>
              <w:jc w:val="center"/>
              <w:rPr>
                <w:b/>
                <w:bCs/>
                <w:vertAlign w:val="baseline"/>
              </w:rPr>
            </w:pPr>
            <w:r>
              <w:rPr>
                <w:rFonts w:hint="eastAsia"/>
                <w:b/>
                <w:bCs/>
                <w:vertAlign w:val="baseline"/>
              </w:rPr>
              <w:t>法定依据</w:t>
            </w:r>
          </w:p>
        </w:tc>
        <w:tc>
          <w:tcPr>
            <w:tcW w:w="1761" w:type="dxa"/>
            <w:vAlign w:val="center"/>
          </w:tcPr>
          <w:p>
            <w:pPr>
              <w:jc w:val="center"/>
              <w:rPr>
                <w:b/>
                <w:bCs/>
                <w:vertAlign w:val="baseline"/>
              </w:rPr>
            </w:pPr>
            <w:r>
              <w:rPr>
                <w:rFonts w:hint="eastAsia"/>
                <w:b/>
                <w:bCs/>
                <w:vertAlign w:val="baseline"/>
              </w:rPr>
              <w:t>法定处罚标准</w:t>
            </w:r>
          </w:p>
        </w:tc>
        <w:tc>
          <w:tcPr>
            <w:tcW w:w="1204" w:type="dxa"/>
            <w:vAlign w:val="center"/>
          </w:tcPr>
          <w:p>
            <w:pPr>
              <w:jc w:val="center"/>
              <w:rPr>
                <w:b/>
                <w:bCs/>
                <w:vertAlign w:val="baseline"/>
              </w:rPr>
            </w:pPr>
            <w:r>
              <w:rPr>
                <w:rFonts w:hint="eastAsia"/>
                <w:b/>
                <w:bCs/>
                <w:vertAlign w:val="baseline"/>
              </w:rPr>
              <w:t>裁量阶次</w:t>
            </w:r>
          </w:p>
        </w:tc>
        <w:tc>
          <w:tcPr>
            <w:tcW w:w="2940" w:type="dxa"/>
            <w:vAlign w:val="center"/>
          </w:tcPr>
          <w:p>
            <w:pPr>
              <w:jc w:val="center"/>
              <w:rPr>
                <w:rFonts w:hint="eastAsia" w:eastAsiaTheme="minorEastAsia"/>
                <w:b/>
                <w:bCs/>
                <w:vertAlign w:val="baseline"/>
                <w:lang w:eastAsia="zh-CN"/>
              </w:rPr>
            </w:pPr>
            <w:r>
              <w:rPr>
                <w:rFonts w:hint="eastAsia"/>
                <w:b/>
                <w:bCs/>
                <w:vertAlign w:val="baseline"/>
                <w:lang w:eastAsia="zh-CN"/>
              </w:rPr>
              <w:t>先用情形</w:t>
            </w:r>
          </w:p>
        </w:tc>
        <w:tc>
          <w:tcPr>
            <w:tcW w:w="3026" w:type="dxa"/>
            <w:vAlign w:val="center"/>
          </w:tcPr>
          <w:p>
            <w:pPr>
              <w:jc w:val="center"/>
              <w:rPr>
                <w:rFonts w:hint="eastAsia" w:eastAsiaTheme="minorEastAsia"/>
                <w:b/>
                <w:bCs/>
                <w:vertAlign w:val="baseline"/>
                <w:lang w:eastAsia="zh-CN"/>
              </w:rPr>
            </w:pPr>
            <w:r>
              <w:rPr>
                <w:rFonts w:hint="eastAsia"/>
                <w:b/>
                <w:bCs/>
                <w:vertAlign w:val="baseline"/>
                <w:lang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628"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94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r>
              <w:rPr>
                <w:rFonts w:hint="eastAsia"/>
                <w:vertAlign w:val="baseline"/>
              </w:rPr>
              <w:t>医疗保障经办机构通过伪造、变造、隐匿、涂改、销毁医学文书、医学证明、会计凭证、电子信息等有关资料或者虚构医药服务项目等方式，骗取医疗保障基金支出。</w:t>
            </w:r>
          </w:p>
        </w:tc>
        <w:tc>
          <w:tcPr>
            <w:tcW w:w="117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r>
              <w:rPr>
                <w:rFonts w:hint="eastAsia"/>
                <w:vertAlign w:val="baseline"/>
              </w:rPr>
              <w:t>《社会保险法》八十七条，《医疗保障基金使用监督管理条例》第三十七条</w:t>
            </w:r>
          </w:p>
        </w:tc>
        <w:tc>
          <w:tcPr>
            <w:tcW w:w="1761"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r>
              <w:rPr>
                <w:rFonts w:hint="eastAsia"/>
                <w:vertAlign w:val="baseline"/>
              </w:rPr>
              <w:t>责令退回，处骗取金额2倍以上5倍以下的罚款，对直接负责的主管人员和其他直接责任人员依法给予处分。</w:t>
            </w: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从轻处罚</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both"/>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初次违法骗取医疗保障基金支出在5000元以下，但未及时改正的；再次违法且骗取医疗保障基金支出，涉案基金金额在5000元以下的。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责令退回骗取基金，处骗取金额2倍的罚款。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628" w:type="dxa"/>
            <w:vMerge w:val="continue"/>
            <w:vAlign w:val="center"/>
          </w:tcPr>
          <w:p>
            <w:pPr>
              <w:jc w:val="both"/>
              <w:rPr>
                <w:vertAlign w:val="baseline"/>
              </w:rPr>
            </w:pPr>
          </w:p>
        </w:tc>
        <w:tc>
          <w:tcPr>
            <w:tcW w:w="294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一般处罚</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both"/>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骗取医疗保障基金支出，涉案基金金额在5000元以上5万元以下的。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责令退回骗取基金，处骗取金额3倍的罚款。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28" w:type="dxa"/>
            <w:vMerge w:val="continue"/>
            <w:vAlign w:val="center"/>
          </w:tcPr>
          <w:p>
            <w:pPr>
              <w:jc w:val="both"/>
              <w:rPr>
                <w:vertAlign w:val="baseline"/>
              </w:rPr>
            </w:pPr>
          </w:p>
        </w:tc>
        <w:tc>
          <w:tcPr>
            <w:tcW w:w="294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微软雅黑" w:hAnsi="微软雅黑" w:eastAsia="微软雅黑" w:cs="微软雅黑"/>
                <w:i w:val="0"/>
                <w:iCs w:val="0"/>
                <w:caps w:val="0"/>
                <w:color w:val="333333"/>
                <w:spacing w:val="0"/>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color w:val="333333"/>
                <w:sz w:val="24"/>
                <w:szCs w:val="24"/>
              </w:rPr>
            </w:pPr>
            <w:r>
              <w:rPr>
                <w:rFonts w:hint="eastAsia" w:ascii="微软雅黑" w:hAnsi="微软雅黑" w:eastAsia="微软雅黑" w:cs="微软雅黑"/>
                <w:i w:val="0"/>
                <w:iCs w:val="0"/>
                <w:caps w:val="0"/>
                <w:color w:val="333333"/>
                <w:spacing w:val="0"/>
                <w:kern w:val="0"/>
                <w:sz w:val="21"/>
                <w:szCs w:val="21"/>
                <w:lang w:val="en-US" w:eastAsia="zh-CN" w:bidi="ar"/>
              </w:rPr>
              <w:t>较重处罚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 </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both"/>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骗取医疗保障基金支出，涉案基金金额在5万元以上50万元以下的。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责令退回骗取基金，处骗取金额4倍的罚款。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28" w:type="dxa"/>
            <w:vMerge w:val="continue"/>
            <w:vAlign w:val="center"/>
          </w:tcPr>
          <w:p>
            <w:pPr>
              <w:jc w:val="both"/>
              <w:rPr>
                <w:vertAlign w:val="baseline"/>
              </w:rPr>
            </w:pPr>
          </w:p>
        </w:tc>
        <w:tc>
          <w:tcPr>
            <w:tcW w:w="294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从重处罚</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both"/>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骗取医疗保障基金支出，涉案基金金额在50万元以上的。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420" w:firstLineChars="200"/>
              <w:jc w:val="both"/>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责令退回骗取基金，处骗取金额5倍罚款。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28"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序号</w:t>
            </w:r>
          </w:p>
        </w:tc>
        <w:tc>
          <w:tcPr>
            <w:tcW w:w="2940"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违法行为</w:t>
            </w:r>
          </w:p>
        </w:tc>
        <w:tc>
          <w:tcPr>
            <w:tcW w:w="1176"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法定依据</w:t>
            </w:r>
          </w:p>
        </w:tc>
        <w:tc>
          <w:tcPr>
            <w:tcW w:w="1761"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法定处罚标准</w:t>
            </w:r>
          </w:p>
        </w:tc>
        <w:tc>
          <w:tcPr>
            <w:tcW w:w="1204"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裁量阶次</w:t>
            </w:r>
          </w:p>
        </w:tc>
        <w:tc>
          <w:tcPr>
            <w:tcW w:w="2940"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先用情形</w:t>
            </w:r>
          </w:p>
        </w:tc>
        <w:tc>
          <w:tcPr>
            <w:tcW w:w="3026"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628"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2</w:t>
            </w:r>
          </w:p>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2940" w:type="dxa"/>
            <w:vMerge w:val="restart"/>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textAlignment w:val="auto"/>
              <w:rPr>
                <w:rFonts w:asciiTheme="minorHAnsi" w:hAnsiTheme="minorHAnsi" w:eastAsiaTheme="minorEastAsia" w:cstheme="minorBidi"/>
                <w:color w:val="333333"/>
                <w:kern w:val="0"/>
                <w:sz w:val="24"/>
                <w:szCs w:val="24"/>
                <w:lang w:val="en-US" w:eastAsia="zh-CN" w:bidi="ar"/>
              </w:rPr>
            </w:pPr>
            <w:r>
              <w:rPr>
                <w:rFonts w:hint="eastAsia" w:ascii="微软雅黑" w:hAnsi="微软雅黑" w:eastAsia="微软雅黑" w:cs="微软雅黑"/>
                <w:i w:val="0"/>
                <w:iCs w:val="0"/>
                <w:caps w:val="0"/>
                <w:color w:val="333333"/>
                <w:spacing w:val="0"/>
                <w:sz w:val="21"/>
                <w:szCs w:val="21"/>
              </w:rPr>
              <w:t>定点医药机构存在下列行为：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造成医疗保障基金损失的其他违法行为。</w:t>
            </w:r>
          </w:p>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《医疗保障基金使用监督管理条例》第三十八条</w:t>
            </w:r>
          </w:p>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w:t>
            </w:r>
          </w:p>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轻微D档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初次违法造成医疗保障基金损失在5000元以下，但未及时改正的；再次违法且造成医疗保障基金损失在5000元以下的。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责令退回损失基金，处损失基金金额1倍的罚款，拒不改正的责令定点医药机构暂停相关责任部门6个月涉及医疗保障基金使用的医药服务。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628"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294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一般C档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造成医疗保障基金损失在5000元以上5万元以下的。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责令退回损失基金，处损失基金金额1倍的罚款，拒不改正的责令定点医药机构暂停相关责任部门8个月涉及医疗保障基金使用的医药服务。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628"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294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较重B档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造成医疗保障基金损失在5万元以上50万元以下的。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责令退回损失基金，处损失基金金额2倍的罚款，责令定点医药机构暂停相关责任部门10个月涉及医疗保障基金使用的医药服务。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628"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294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严重A档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造成医疗保障基金损失在50万元以上的。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责令退回损失基金，处损失基金金额2倍的罚款，责令定点医药机构暂停相关责任部门12个月涉及医疗保障基金使用的医药服务。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8"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序号</w:t>
            </w:r>
          </w:p>
        </w:tc>
        <w:tc>
          <w:tcPr>
            <w:tcW w:w="2940"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违法行为</w:t>
            </w:r>
          </w:p>
        </w:tc>
        <w:tc>
          <w:tcPr>
            <w:tcW w:w="1176"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法定依据</w:t>
            </w:r>
          </w:p>
        </w:tc>
        <w:tc>
          <w:tcPr>
            <w:tcW w:w="1761"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法定处罚标准</w:t>
            </w:r>
          </w:p>
        </w:tc>
        <w:tc>
          <w:tcPr>
            <w:tcW w:w="1204"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裁量阶次</w:t>
            </w:r>
          </w:p>
        </w:tc>
        <w:tc>
          <w:tcPr>
            <w:tcW w:w="2940"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先用情形</w:t>
            </w:r>
          </w:p>
        </w:tc>
        <w:tc>
          <w:tcPr>
            <w:tcW w:w="3026"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trPr>
        <w:tc>
          <w:tcPr>
            <w:tcW w:w="628"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3</w:t>
            </w:r>
          </w:p>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2940" w:type="dxa"/>
            <w:vMerge w:val="restart"/>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420" w:firstLineChars="0"/>
              <w:textAlignment w:val="auto"/>
              <w:rPr>
                <w:vertAlign w:val="baseline"/>
              </w:rPr>
            </w:pPr>
            <w:r>
              <w:rPr>
                <w:rFonts w:hint="eastAsia" w:ascii="微软雅黑" w:hAnsi="微软雅黑" w:eastAsia="微软雅黑" w:cs="微软雅黑"/>
                <w:i w:val="0"/>
                <w:iCs w:val="0"/>
                <w:caps w:val="0"/>
                <w:color w:val="333333"/>
                <w:spacing w:val="0"/>
                <w:sz w:val="21"/>
                <w:szCs w:val="21"/>
              </w:rPr>
              <w:t>定点医药机构有下列情形之一的：（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1176"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《医疗保障基金使用监督管理条例》第三十九条</w:t>
            </w:r>
          </w:p>
        </w:tc>
        <w:tc>
          <w:tcPr>
            <w:tcW w:w="17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b w:val="0"/>
                <w:bCs w:val="0"/>
                <w:i w:val="0"/>
                <w:iCs w:val="0"/>
                <w:caps w:val="0"/>
                <w:color w:val="333333"/>
                <w:spacing w:val="0"/>
                <w:kern w:val="0"/>
                <w:sz w:val="21"/>
                <w:szCs w:val="21"/>
                <w:lang w:val="en-US" w:eastAsia="zh-CN" w:bidi="ar"/>
              </w:rPr>
              <w:t>责令改正，并可以约谈有关负责人；拒不改正的，处1万元以上5万元以下的罚款。</w:t>
            </w: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轻微D档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违反第三十九条1-6款其中1款的。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拒不改正的，处1万元的罚款。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trPr>
        <w:tc>
          <w:tcPr>
            <w:tcW w:w="628"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294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一般C档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违反第三十九条1-6款中2-3款的。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拒不改正的，处3万元的罚款。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trPr>
        <w:tc>
          <w:tcPr>
            <w:tcW w:w="628"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294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较重B档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违反第三十九条1-6款中4-5款。</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拒不改正的，处4万元的罚款。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trPr>
        <w:tc>
          <w:tcPr>
            <w:tcW w:w="628"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2940"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vertAlign w:val="baseline"/>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严重A档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违反第三十九条1-6款中5款及以上的，或第七款。</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拒不改正的，处5万元的罚款。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8"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序号</w:t>
            </w:r>
          </w:p>
        </w:tc>
        <w:tc>
          <w:tcPr>
            <w:tcW w:w="2940"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违法行为</w:t>
            </w:r>
          </w:p>
        </w:tc>
        <w:tc>
          <w:tcPr>
            <w:tcW w:w="1176"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法定依据</w:t>
            </w:r>
          </w:p>
        </w:tc>
        <w:tc>
          <w:tcPr>
            <w:tcW w:w="1761"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法定处罚标准</w:t>
            </w:r>
          </w:p>
        </w:tc>
        <w:tc>
          <w:tcPr>
            <w:tcW w:w="1204"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rPr>
              <w:t>裁量阶次</w:t>
            </w:r>
          </w:p>
        </w:tc>
        <w:tc>
          <w:tcPr>
            <w:tcW w:w="2940"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先用情形</w:t>
            </w:r>
          </w:p>
        </w:tc>
        <w:tc>
          <w:tcPr>
            <w:tcW w:w="3026"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trPr>
        <w:tc>
          <w:tcPr>
            <w:tcW w:w="628"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4</w:t>
            </w:r>
          </w:p>
          <w:p>
            <w:pPr>
              <w:bidi w:val="0"/>
              <w:jc w:val="left"/>
              <w:rPr>
                <w:rFonts w:hint="eastAsia" w:asciiTheme="minorHAnsi" w:hAnsiTheme="minorHAnsi" w:eastAsiaTheme="minorEastAsia" w:cstheme="minorBidi"/>
                <w:kern w:val="2"/>
                <w:sz w:val="21"/>
                <w:szCs w:val="24"/>
                <w:lang w:val="en-US" w:eastAsia="zh-CN" w:bidi="ar-SA"/>
              </w:rPr>
            </w:pPr>
          </w:p>
        </w:tc>
        <w:tc>
          <w:tcPr>
            <w:tcW w:w="2940" w:type="dxa"/>
            <w:vMerge w:val="restart"/>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定点医药机构有下列情形之一的：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（一）</w:t>
            </w:r>
            <w:r>
              <w:rPr>
                <w:rFonts w:hint="eastAsia" w:ascii="微软雅黑" w:hAnsi="微软雅黑" w:eastAsia="微软雅黑" w:cs="微软雅黑"/>
                <w:i w:val="0"/>
                <w:iCs w:val="0"/>
                <w:caps w:val="0"/>
                <w:color w:val="333333"/>
                <w:spacing w:val="0"/>
                <w:sz w:val="21"/>
                <w:szCs w:val="21"/>
              </w:rPr>
              <w:t>诱导、协助他人冒名或者虚假就医、购药、提供虚假证明材料，或者串通他人虚开费用单据；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（二）伪造、变造、隐匿、涂改、销毁医学文书、医学证明、会计凭证、电子信息等有关资料；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textAlignment w:val="auto"/>
              <w:rPr>
                <w:rFonts w:asciiTheme="minorHAnsi" w:hAnsiTheme="minorHAnsi" w:eastAsiaTheme="minorEastAsia" w:cstheme="minorBidi"/>
                <w:color w:val="333333"/>
                <w:kern w:val="0"/>
                <w:sz w:val="24"/>
                <w:szCs w:val="24"/>
                <w:lang w:val="en-US" w:eastAsia="zh-CN" w:bidi="ar"/>
              </w:rPr>
            </w:pPr>
            <w:r>
              <w:rPr>
                <w:rFonts w:hint="eastAsia" w:ascii="微软雅黑" w:hAnsi="微软雅黑" w:eastAsia="微软雅黑" w:cs="微软雅黑"/>
                <w:i w:val="0"/>
                <w:iCs w:val="0"/>
                <w:caps w:val="0"/>
                <w:color w:val="333333"/>
                <w:spacing w:val="0"/>
                <w:sz w:val="21"/>
                <w:szCs w:val="21"/>
              </w:rPr>
              <w:t>（三）虚构医药服务项目；（四）其他骗取医疗保障基金支出的行为。</w:t>
            </w:r>
          </w:p>
        </w:tc>
        <w:tc>
          <w:tcPr>
            <w:tcW w:w="1176" w:type="dxa"/>
            <w:vMerge w:val="restart"/>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color w:val="333333"/>
                <w:sz w:val="24"/>
                <w:szCs w:val="24"/>
              </w:rPr>
            </w:pPr>
            <w:r>
              <w:rPr>
                <w:rFonts w:hint="eastAsia" w:ascii="微软雅黑" w:hAnsi="微软雅黑" w:eastAsia="微软雅黑" w:cs="微软雅黑"/>
                <w:b w:val="0"/>
                <w:bCs w:val="0"/>
                <w:i w:val="0"/>
                <w:iCs w:val="0"/>
                <w:caps w:val="0"/>
                <w:color w:val="333333"/>
                <w:spacing w:val="0"/>
                <w:sz w:val="21"/>
                <w:szCs w:val="21"/>
              </w:rPr>
              <w:t>《社会保险法》第八十七条，《医疗保障基金使用监督管理条例》第四十条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 </w:t>
            </w:r>
          </w:p>
        </w:tc>
        <w:tc>
          <w:tcPr>
            <w:tcW w:w="17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责令退回，处骗取金额2倍以上5倍以下的罚款；责令定点医药机构暂停相关责任部门6个月以上1年以下涉及医疗保障基金使用的医药服务，直至由医疗保障经办机构解除服务协议。</w:t>
            </w: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轻微D档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初次违法骗取医疗保障基金金额在5000元以下，但未及时改正的；再次违法且造成医疗保障基金损失在5000元以下的。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责令退回损失基金，处骗取金额2倍的罚款，责令定点医药机构暂停相关责任部门6个月涉及医疗保障基金使用的医药服务。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trPr>
        <w:tc>
          <w:tcPr>
            <w:tcW w:w="628" w:type="dxa"/>
            <w:vMerge w:val="continue"/>
            <w:vAlign w:val="center"/>
          </w:tcPr>
          <w:p>
            <w:pPr>
              <w:jc w:val="both"/>
              <w:rPr>
                <w:vertAlign w:val="baseline"/>
              </w:rPr>
            </w:pPr>
          </w:p>
        </w:tc>
        <w:tc>
          <w:tcPr>
            <w:tcW w:w="29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一般C档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造成医疗保障基金损失在5000元以上5万元以下的。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责令退回损失基金，处骗取金额3倍的罚款，责令定点医药机构暂停相关责任部门9个月涉及医疗保障基金使用的医药服务。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trPr>
        <w:tc>
          <w:tcPr>
            <w:tcW w:w="628" w:type="dxa"/>
            <w:vMerge w:val="continue"/>
            <w:vAlign w:val="center"/>
          </w:tcPr>
          <w:p>
            <w:pPr>
              <w:jc w:val="both"/>
              <w:rPr>
                <w:vertAlign w:val="baseline"/>
              </w:rPr>
            </w:pPr>
          </w:p>
        </w:tc>
        <w:tc>
          <w:tcPr>
            <w:tcW w:w="29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较重B档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造成医疗保障基金损失在5万元以上50万元以下的。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责令退回损失基金，处骗取金额4倍的罚款，责令定点医药机构暂停相关责任部门12个月涉及医疗保障基金使用的医药服务。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trPr>
        <w:tc>
          <w:tcPr>
            <w:tcW w:w="628" w:type="dxa"/>
            <w:vMerge w:val="continue"/>
            <w:vAlign w:val="center"/>
          </w:tcPr>
          <w:p>
            <w:pPr>
              <w:jc w:val="both"/>
              <w:rPr>
                <w:vertAlign w:val="baseline"/>
              </w:rPr>
            </w:pPr>
          </w:p>
        </w:tc>
        <w:tc>
          <w:tcPr>
            <w:tcW w:w="29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严重A档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造成医疗保障基金损失在50万元以上的。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责令退回损失基金，处骗取金额5倍的罚款，责令医疗保障经办机构解除服务协议。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8"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序号</w:t>
            </w:r>
          </w:p>
        </w:tc>
        <w:tc>
          <w:tcPr>
            <w:tcW w:w="2940"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违法行为</w:t>
            </w:r>
          </w:p>
        </w:tc>
        <w:tc>
          <w:tcPr>
            <w:tcW w:w="1176"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法定依据</w:t>
            </w:r>
          </w:p>
        </w:tc>
        <w:tc>
          <w:tcPr>
            <w:tcW w:w="1761" w:type="dxa"/>
            <w:vAlign w:val="center"/>
          </w:tcPr>
          <w:p>
            <w:pPr>
              <w:jc w:val="center"/>
              <w:rPr>
                <w:rFonts w:asciiTheme="minorHAnsi" w:hAnsiTheme="minorHAnsi" w:eastAsiaTheme="minorEastAsia" w:cstheme="minorBidi"/>
                <w:b/>
                <w:bCs/>
                <w:kern w:val="2"/>
                <w:sz w:val="21"/>
                <w:szCs w:val="24"/>
                <w:vertAlign w:val="baseline"/>
                <w:lang w:val="en-US" w:eastAsia="zh-CN" w:bidi="ar-SA"/>
              </w:rPr>
            </w:pPr>
            <w:r>
              <w:rPr>
                <w:rFonts w:hint="eastAsia"/>
                <w:b/>
                <w:bCs/>
                <w:vertAlign w:val="baseline"/>
              </w:rPr>
              <w:t>法定处罚标准</w:t>
            </w:r>
          </w:p>
        </w:tc>
        <w:tc>
          <w:tcPr>
            <w:tcW w:w="1204"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rPr>
              <w:t>裁量阶次</w:t>
            </w:r>
          </w:p>
        </w:tc>
        <w:tc>
          <w:tcPr>
            <w:tcW w:w="2940"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先用情形</w:t>
            </w:r>
          </w:p>
        </w:tc>
        <w:tc>
          <w:tcPr>
            <w:tcW w:w="3026"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lang w:eastAsia="zh-CN"/>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exact"/>
        </w:trPr>
        <w:tc>
          <w:tcPr>
            <w:tcW w:w="628"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2940" w:type="dxa"/>
            <w:vMerge w:val="restart"/>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textAlignment w:val="auto"/>
              <w:rPr>
                <w:color w:val="333333"/>
                <w:sz w:val="24"/>
                <w:szCs w:val="24"/>
              </w:rPr>
            </w:pPr>
            <w:r>
              <w:rPr>
                <w:rFonts w:hint="eastAsia" w:ascii="微软雅黑" w:hAnsi="微软雅黑" w:eastAsia="微软雅黑" w:cs="微软雅黑"/>
                <w:i w:val="0"/>
                <w:iCs w:val="0"/>
                <w:caps w:val="0"/>
                <w:color w:val="333333"/>
                <w:spacing w:val="0"/>
                <w:sz w:val="21"/>
                <w:szCs w:val="21"/>
              </w:rPr>
              <w:t>个人有下列情形之一的：（一）将本人的医疗保障凭证交由他人冒名使用；（二）重复享受医疗保障待遇；（三）利用享受医疗保障待遇的机会转卖药品，接受返还现金、实物或者获得其他非法利益。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 </w:t>
            </w:r>
          </w:p>
        </w:tc>
        <w:tc>
          <w:tcPr>
            <w:tcW w:w="1176" w:type="dxa"/>
            <w:vMerge w:val="restart"/>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textAlignment w:val="auto"/>
              <w:rPr>
                <w:color w:val="333333"/>
                <w:sz w:val="24"/>
                <w:szCs w:val="24"/>
              </w:rPr>
            </w:pPr>
            <w:r>
              <w:rPr>
                <w:rFonts w:hint="eastAsia" w:ascii="微软雅黑" w:hAnsi="微软雅黑" w:eastAsia="微软雅黑" w:cs="微软雅黑"/>
                <w:b w:val="0"/>
                <w:bCs w:val="0"/>
                <w:i w:val="0"/>
                <w:iCs w:val="0"/>
                <w:caps w:val="0"/>
                <w:color w:val="333333"/>
                <w:spacing w:val="0"/>
                <w:sz w:val="21"/>
                <w:szCs w:val="21"/>
              </w:rPr>
              <w:t>《社会保险法》第八十八条，《医疗保障基金使用监督管理条例》第四十一条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 </w:t>
            </w:r>
          </w:p>
        </w:tc>
        <w:tc>
          <w:tcPr>
            <w:tcW w:w="1761"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责令改正；造成医疗保障基金损失的，责令退回；属于参保人员的，暂停其医疗费用联网结算3个月至12个月。个人以骗取医疗保障基金为目的，骗取医疗保障基金支出的处骗取金额2倍以上5倍以下的罚款。</w:t>
            </w: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轻微D档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初次违法造成医疗保障基金损失在5000元以下，但未及时改正的；再次违法且造成医疗保障基金损失在5000元以下的。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责令退回基金损失，暂停参保人员3个月医疗费用联网结算，处骗取金额2倍的罚款。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exact"/>
        </w:trPr>
        <w:tc>
          <w:tcPr>
            <w:tcW w:w="628" w:type="dxa"/>
            <w:vMerge w:val="continue"/>
            <w:vAlign w:val="center"/>
          </w:tcPr>
          <w:p>
            <w:pPr>
              <w:jc w:val="both"/>
              <w:rPr>
                <w:vertAlign w:val="baseline"/>
              </w:rPr>
            </w:pPr>
          </w:p>
        </w:tc>
        <w:tc>
          <w:tcPr>
            <w:tcW w:w="29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一般C档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骗取医疗保障基金支出，涉案基金金额在5000元以上5万元以下的。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责令退回基金损失；暂停参保人员6个月医疗费用联网结算，并处骗取金额3倍的罚款。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exact"/>
        </w:trPr>
        <w:tc>
          <w:tcPr>
            <w:tcW w:w="628" w:type="dxa"/>
            <w:vMerge w:val="continue"/>
            <w:vAlign w:val="center"/>
          </w:tcPr>
          <w:p>
            <w:pPr>
              <w:jc w:val="both"/>
              <w:rPr>
                <w:vertAlign w:val="baseline"/>
              </w:rPr>
            </w:pPr>
          </w:p>
        </w:tc>
        <w:tc>
          <w:tcPr>
            <w:tcW w:w="29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较重B档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骗取医疗保障基金支出，涉案基金金额在5万元以上50万元以下的。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责令退回基金损失；暂停参保人员9个月医疗费用联网结算，并处骗取金额4倍的罚款。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exact"/>
        </w:trPr>
        <w:tc>
          <w:tcPr>
            <w:tcW w:w="628" w:type="dxa"/>
            <w:vMerge w:val="continue"/>
            <w:vAlign w:val="center"/>
          </w:tcPr>
          <w:p>
            <w:pPr>
              <w:jc w:val="both"/>
              <w:rPr>
                <w:vertAlign w:val="baseline"/>
              </w:rPr>
            </w:pPr>
          </w:p>
        </w:tc>
        <w:tc>
          <w:tcPr>
            <w:tcW w:w="294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761"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vertAlign w:val="baseline"/>
              </w:rPr>
            </w:pPr>
          </w:p>
        </w:tc>
        <w:tc>
          <w:tcPr>
            <w:tcW w:w="1204"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严重A档</w:t>
            </w:r>
          </w:p>
        </w:tc>
        <w:tc>
          <w:tcPr>
            <w:tcW w:w="294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骗取医疗保障基金支出，涉案基金金额在50万元以上的。</w:t>
            </w:r>
          </w:p>
        </w:tc>
        <w:tc>
          <w:tcPr>
            <w:tcW w:w="302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20" w:firstLineChars="0"/>
              <w:jc w:val="left"/>
              <w:textAlignment w:val="auto"/>
              <w:rPr>
                <w:rFonts w:hint="eastAsia" w:asciiTheme="minorHAnsi" w:hAnsiTheme="minorHAnsi" w:eastAsiaTheme="minorEastAsia" w:cstheme="minorBidi"/>
                <w:color w:val="333333"/>
                <w:kern w:val="2"/>
                <w:sz w:val="24"/>
                <w:szCs w:val="24"/>
                <w:lang w:val="en-US" w:eastAsia="zh-CN" w:bidi="ar-SA"/>
              </w:rPr>
            </w:pPr>
            <w:r>
              <w:rPr>
                <w:rFonts w:hint="eastAsia" w:ascii="微软雅黑" w:hAnsi="微软雅黑" w:eastAsia="微软雅黑" w:cs="微软雅黑"/>
                <w:i w:val="0"/>
                <w:iCs w:val="0"/>
                <w:caps w:val="0"/>
                <w:color w:val="333333"/>
                <w:spacing w:val="0"/>
                <w:kern w:val="0"/>
                <w:sz w:val="21"/>
                <w:szCs w:val="21"/>
                <w:lang w:val="en-US" w:eastAsia="zh-CN" w:bidi="ar"/>
              </w:rPr>
              <w:t>责令退回基金损失；暂停参保人员12个月医疗费用联网结算，并处骗取金额5倍罚款。</w:t>
            </w:r>
          </w:p>
        </w:tc>
      </w:tr>
    </w:tbl>
    <w:p>
      <w:pPr>
        <w:widowControl/>
        <w:adjustRightInd w:val="0"/>
        <w:snapToGrid w:val="0"/>
        <w:spacing w:before="400" w:line="360" w:lineRule="auto"/>
        <w:jc w:val="both"/>
        <w:rPr>
          <w:rFonts w:hint="eastAsia" w:ascii="仿宋" w:hAnsi="仿宋" w:eastAsia="仿宋" w:cs="仿宋"/>
          <w:i w:val="0"/>
          <w:iCs w:val="0"/>
          <w:caps w:val="0"/>
          <w:color w:val="auto"/>
          <w:spacing w:val="0"/>
          <w:sz w:val="32"/>
          <w:szCs w:val="32"/>
          <w:lang w:val="en-US" w:eastAsia="zh-CN"/>
        </w:rPr>
      </w:pPr>
      <w:bookmarkStart w:id="0" w:name="_GoBack"/>
      <w:bookmarkEnd w:id="0"/>
    </w:p>
    <w:sectPr>
      <w:pgSz w:w="16838" w:h="11906" w:orient="landscape"/>
      <w:pgMar w:top="1587" w:right="2098" w:bottom="158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FA28432-7B50-4096-81E8-7621A83B5ACB}"/>
  </w:font>
  <w:font w:name="方正小标宋_GBK">
    <w:panose1 w:val="02000000000000000000"/>
    <w:charset w:val="86"/>
    <w:family w:val="auto"/>
    <w:pitch w:val="default"/>
    <w:sig w:usb0="A00002BF" w:usb1="38CF7CFA" w:usb2="00082016" w:usb3="00000000" w:csb0="00040001" w:csb1="00000000"/>
    <w:embedRegular r:id="rId2" w:fontKey="{8A803B52-EF6E-41EA-B356-1E5EC52C6E8B}"/>
  </w:font>
  <w:font w:name="微软雅黑">
    <w:panose1 w:val="020B0503020204020204"/>
    <w:charset w:val="86"/>
    <w:family w:val="auto"/>
    <w:pitch w:val="default"/>
    <w:sig w:usb0="80000287" w:usb1="280F3C52" w:usb2="00000016" w:usb3="00000000" w:csb0="0004001F" w:csb1="00000000"/>
    <w:embedRegular r:id="rId3" w:fontKey="{0D960EFB-AF2F-4B57-A24D-0B634916B72A}"/>
  </w:font>
  <w:font w:name="方正仿宋简体">
    <w:panose1 w:val="03000509000000000000"/>
    <w:charset w:val="86"/>
    <w:family w:val="auto"/>
    <w:pitch w:val="default"/>
    <w:sig w:usb0="00000001" w:usb1="080E0000" w:usb2="00000000" w:usb3="00000000" w:csb0="00040000" w:csb1="00000000"/>
    <w:embedRegular r:id="rId4" w:fontKey="{7F05F4CB-7073-4C89-849B-DDA5F855D6BC}"/>
  </w:font>
  <w:font w:name="仿宋">
    <w:panose1 w:val="02010609060101010101"/>
    <w:charset w:val="86"/>
    <w:family w:val="auto"/>
    <w:pitch w:val="default"/>
    <w:sig w:usb0="800002BF" w:usb1="38CF7CFA" w:usb2="00000016" w:usb3="00000000" w:csb0="00040001" w:csb1="00000000"/>
    <w:embedRegular r:id="rId5" w:fontKey="{716EDD23-1C99-48AA-A149-89F1A16112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YzNhYjkyYTVmNTliMWQ0NzZjYWE3NTRhMzE1NDAifQ=="/>
  </w:docVars>
  <w:rsids>
    <w:rsidRoot w:val="48947505"/>
    <w:rsid w:val="0002561E"/>
    <w:rsid w:val="00360E24"/>
    <w:rsid w:val="0256755B"/>
    <w:rsid w:val="03D64DF8"/>
    <w:rsid w:val="074B3407"/>
    <w:rsid w:val="075E313A"/>
    <w:rsid w:val="08872516"/>
    <w:rsid w:val="08E7715F"/>
    <w:rsid w:val="08E81855"/>
    <w:rsid w:val="091B505B"/>
    <w:rsid w:val="09840E52"/>
    <w:rsid w:val="0AC534D0"/>
    <w:rsid w:val="0B444D3D"/>
    <w:rsid w:val="0D4D7F35"/>
    <w:rsid w:val="0EB36461"/>
    <w:rsid w:val="0F4071D2"/>
    <w:rsid w:val="0FD57F70"/>
    <w:rsid w:val="10231B1A"/>
    <w:rsid w:val="11AE1162"/>
    <w:rsid w:val="11D87F8D"/>
    <w:rsid w:val="121865DB"/>
    <w:rsid w:val="12695089"/>
    <w:rsid w:val="12A10CC7"/>
    <w:rsid w:val="147F0B94"/>
    <w:rsid w:val="14A84289"/>
    <w:rsid w:val="15F07F9B"/>
    <w:rsid w:val="160C0188"/>
    <w:rsid w:val="168C6FF3"/>
    <w:rsid w:val="170B670F"/>
    <w:rsid w:val="19940C3D"/>
    <w:rsid w:val="199724DC"/>
    <w:rsid w:val="1AD11A1D"/>
    <w:rsid w:val="1B1C0EEA"/>
    <w:rsid w:val="1B970EB9"/>
    <w:rsid w:val="1CFF0AC4"/>
    <w:rsid w:val="1DB25B36"/>
    <w:rsid w:val="1E0D0FBE"/>
    <w:rsid w:val="1E960FB4"/>
    <w:rsid w:val="1F417171"/>
    <w:rsid w:val="1F592B7E"/>
    <w:rsid w:val="205B4263"/>
    <w:rsid w:val="21A165ED"/>
    <w:rsid w:val="22DE496F"/>
    <w:rsid w:val="2338088B"/>
    <w:rsid w:val="24C148B0"/>
    <w:rsid w:val="24F178CF"/>
    <w:rsid w:val="25C91C6F"/>
    <w:rsid w:val="27390D20"/>
    <w:rsid w:val="285C6DCA"/>
    <w:rsid w:val="285E0D94"/>
    <w:rsid w:val="29D42D8F"/>
    <w:rsid w:val="2B6366C1"/>
    <w:rsid w:val="2C02455B"/>
    <w:rsid w:val="2C041C52"/>
    <w:rsid w:val="2CD21D51"/>
    <w:rsid w:val="2DD13DB6"/>
    <w:rsid w:val="2F963509"/>
    <w:rsid w:val="309F12AF"/>
    <w:rsid w:val="31F2254D"/>
    <w:rsid w:val="325946B1"/>
    <w:rsid w:val="32F10A57"/>
    <w:rsid w:val="34452E08"/>
    <w:rsid w:val="369342FF"/>
    <w:rsid w:val="37265173"/>
    <w:rsid w:val="37B9647D"/>
    <w:rsid w:val="37F7266B"/>
    <w:rsid w:val="38A6346D"/>
    <w:rsid w:val="3AD44EE6"/>
    <w:rsid w:val="3B9457DF"/>
    <w:rsid w:val="3D1B32A0"/>
    <w:rsid w:val="3EAD477D"/>
    <w:rsid w:val="41004C87"/>
    <w:rsid w:val="41526B64"/>
    <w:rsid w:val="41EC520B"/>
    <w:rsid w:val="41F83BB0"/>
    <w:rsid w:val="42B2733B"/>
    <w:rsid w:val="43F87E97"/>
    <w:rsid w:val="455E01CE"/>
    <w:rsid w:val="463E71C8"/>
    <w:rsid w:val="46B1432D"/>
    <w:rsid w:val="487675DC"/>
    <w:rsid w:val="48947505"/>
    <w:rsid w:val="493E459E"/>
    <w:rsid w:val="4A7E09CA"/>
    <w:rsid w:val="4CB644C2"/>
    <w:rsid w:val="4D622825"/>
    <w:rsid w:val="503264DF"/>
    <w:rsid w:val="50D1064E"/>
    <w:rsid w:val="528648C0"/>
    <w:rsid w:val="52A03BD4"/>
    <w:rsid w:val="53A72D40"/>
    <w:rsid w:val="53FF0DCE"/>
    <w:rsid w:val="5449029B"/>
    <w:rsid w:val="55191A1B"/>
    <w:rsid w:val="55202DAA"/>
    <w:rsid w:val="553E1482"/>
    <w:rsid w:val="562E7E99"/>
    <w:rsid w:val="57B819BF"/>
    <w:rsid w:val="58492617"/>
    <w:rsid w:val="58CB74D0"/>
    <w:rsid w:val="5A18400F"/>
    <w:rsid w:val="5A482DBC"/>
    <w:rsid w:val="5BD4669C"/>
    <w:rsid w:val="5C1B42CB"/>
    <w:rsid w:val="5C871960"/>
    <w:rsid w:val="5CB12E81"/>
    <w:rsid w:val="5D327B1E"/>
    <w:rsid w:val="5E714676"/>
    <w:rsid w:val="5EB36A3D"/>
    <w:rsid w:val="5F6402AF"/>
    <w:rsid w:val="5FC03B07"/>
    <w:rsid w:val="609B00D0"/>
    <w:rsid w:val="60F4333C"/>
    <w:rsid w:val="611B3FDC"/>
    <w:rsid w:val="61952D71"/>
    <w:rsid w:val="619D5782"/>
    <w:rsid w:val="620E6DF6"/>
    <w:rsid w:val="62B86D17"/>
    <w:rsid w:val="63243202"/>
    <w:rsid w:val="636C365E"/>
    <w:rsid w:val="64306D81"/>
    <w:rsid w:val="647942F8"/>
    <w:rsid w:val="64A15589"/>
    <w:rsid w:val="64A5151D"/>
    <w:rsid w:val="64FB738F"/>
    <w:rsid w:val="65FA31A3"/>
    <w:rsid w:val="68EB3277"/>
    <w:rsid w:val="6AA73195"/>
    <w:rsid w:val="6AB4215C"/>
    <w:rsid w:val="6D000DBD"/>
    <w:rsid w:val="6DCA78FF"/>
    <w:rsid w:val="6E131E5E"/>
    <w:rsid w:val="6E4C3259"/>
    <w:rsid w:val="6F1C418A"/>
    <w:rsid w:val="710D46D2"/>
    <w:rsid w:val="713734FD"/>
    <w:rsid w:val="71593474"/>
    <w:rsid w:val="723914F7"/>
    <w:rsid w:val="72A46970"/>
    <w:rsid w:val="73A82490"/>
    <w:rsid w:val="740D2C3B"/>
    <w:rsid w:val="742D0BE7"/>
    <w:rsid w:val="74D86DA5"/>
    <w:rsid w:val="75073AB1"/>
    <w:rsid w:val="757F5473"/>
    <w:rsid w:val="76B64EC4"/>
    <w:rsid w:val="7745284B"/>
    <w:rsid w:val="778B00FF"/>
    <w:rsid w:val="77C27899"/>
    <w:rsid w:val="77E347BD"/>
    <w:rsid w:val="781A1483"/>
    <w:rsid w:val="78372035"/>
    <w:rsid w:val="794C38BE"/>
    <w:rsid w:val="79817A0B"/>
    <w:rsid w:val="7A1C14E2"/>
    <w:rsid w:val="7A6F1F5A"/>
    <w:rsid w:val="7A804167"/>
    <w:rsid w:val="7DA1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2536</Words>
  <Characters>2548</Characters>
  <Lines>0</Lines>
  <Paragraphs>0</Paragraphs>
  <TotalTime>8</TotalTime>
  <ScaleCrop>false</ScaleCrop>
  <LinksUpToDate>false</LinksUpToDate>
  <CharactersWithSpaces>5723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2023-08-31T02:16:00Z</dcterms:created>
  <dc:creator>口丁口当</dc:creator>
  <cp:lastModifiedBy>霞霞</cp:lastModifiedBy>
  <cp:lastPrinted>2023-11-01T01:01:00Z</cp:lastPrinted>
  <dcterms:modified xsi:type="dcterms:W3CDTF">2023-11-02T07:32:52Z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C1770AC162044C039FF28861B2567630_13</vt:lpwstr>
  </property>
</Properties>
</file>