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9"/>
          <w:rFonts w:hint="eastAsia" w:ascii="方正小标宋_GBK" w:hAnsi="方正小标宋_GBK" w:eastAsia="方正小标宋_GBK" w:cs="方正小标宋_GBK"/>
          <w:b w:val="0"/>
          <w:bCs/>
          <w:sz w:val="44"/>
          <w:szCs w:val="44"/>
          <w:highlight w:val="none"/>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9"/>
          <w:rFonts w:hint="eastAsia" w:ascii="方正小标宋_GBK" w:hAnsi="方正小标宋_GBK" w:eastAsia="方正小标宋_GBK" w:cs="方正小标宋_GBK"/>
          <w:b w:val="0"/>
          <w:bCs/>
          <w:sz w:val="44"/>
          <w:szCs w:val="44"/>
          <w:highlight w:val="none"/>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9"/>
          <w:rFonts w:hint="eastAsia" w:ascii="方正小标宋_GBK" w:hAnsi="方正小标宋_GBK" w:eastAsia="方正小标宋_GBK" w:cs="方正小标宋_GBK"/>
          <w:b w:val="0"/>
          <w:bCs/>
          <w:sz w:val="44"/>
          <w:szCs w:val="44"/>
          <w:highlight w:val="none"/>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9"/>
          <w:rFonts w:hint="eastAsia" w:ascii="方正小标宋_GBK" w:hAnsi="方正小标宋_GBK" w:eastAsia="方正小标宋_GBK" w:cs="方正小标宋_GBK"/>
          <w:b w:val="0"/>
          <w:bCs/>
          <w:sz w:val="44"/>
          <w:szCs w:val="44"/>
          <w:highlight w:val="none"/>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9"/>
          <w:rFonts w:hint="eastAsia" w:ascii="方正小标宋_GBK" w:hAnsi="方正小标宋_GBK" w:eastAsia="方正小标宋_GBK" w:cs="方正小标宋_GBK"/>
          <w:b w:val="0"/>
          <w:bCs/>
          <w:sz w:val="44"/>
          <w:szCs w:val="44"/>
          <w:highlight w:val="none"/>
          <w:lang w:val="en-US" w:eastAsia="zh-CN"/>
        </w:rPr>
      </w:pPr>
      <w:r>
        <w:rPr>
          <w:rStyle w:val="9"/>
          <w:rFonts w:hint="eastAsia" w:ascii="方正小标宋_GBK" w:hAnsi="方正小标宋_GBK" w:eastAsia="方正小标宋_GBK" w:cs="方正小标宋_GBK"/>
          <w:b w:val="0"/>
          <w:bCs/>
          <w:sz w:val="44"/>
          <w:szCs w:val="44"/>
          <w:highlight w:val="none"/>
          <w:lang w:val="en-US" w:eastAsia="zh-CN"/>
        </w:rPr>
        <w:t>沅江市医疗保障局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9"/>
          <w:rFonts w:hint="eastAsia" w:ascii="方正小标宋_GBK" w:hAnsi="方正小标宋_GBK" w:eastAsia="方正小标宋_GBK" w:cs="方正小标宋_GBK"/>
          <w:b w:val="0"/>
          <w:bCs/>
          <w:sz w:val="44"/>
          <w:szCs w:val="44"/>
          <w:highlight w:val="none"/>
          <w:lang w:eastAsia="zh-CN"/>
        </w:rPr>
      </w:pPr>
      <w:r>
        <w:rPr>
          <w:rStyle w:val="9"/>
          <w:rFonts w:hint="eastAsia" w:ascii="方正小标宋_GBK" w:hAnsi="方正小标宋_GBK" w:eastAsia="方正小标宋_GBK" w:cs="方正小标宋_GBK"/>
          <w:b w:val="0"/>
          <w:bCs/>
          <w:sz w:val="44"/>
          <w:szCs w:val="44"/>
          <w:highlight w:val="none"/>
        </w:rPr>
        <w:t>关于</w:t>
      </w:r>
      <w:r>
        <w:rPr>
          <w:rStyle w:val="9"/>
          <w:rFonts w:hint="eastAsia" w:ascii="方正小标宋_GBK" w:hAnsi="方正小标宋_GBK" w:eastAsia="方正小标宋_GBK" w:cs="方正小标宋_GBK"/>
          <w:b w:val="0"/>
          <w:bCs/>
          <w:sz w:val="44"/>
          <w:szCs w:val="44"/>
          <w:highlight w:val="none"/>
          <w:lang w:eastAsia="zh-CN"/>
        </w:rPr>
        <w:t>转</w:t>
      </w:r>
      <w:r>
        <w:rPr>
          <w:rStyle w:val="9"/>
          <w:rFonts w:hint="eastAsia" w:ascii="方正小标宋_GBK" w:hAnsi="方正小标宋_GBK" w:eastAsia="方正小标宋_GBK" w:cs="方正小标宋_GBK"/>
          <w:b w:val="0"/>
          <w:bCs/>
          <w:sz w:val="44"/>
          <w:szCs w:val="44"/>
          <w:highlight w:val="none"/>
        </w:rPr>
        <w:t>发</w:t>
      </w:r>
      <w:r>
        <w:rPr>
          <w:rStyle w:val="9"/>
          <w:rFonts w:hint="eastAsia" w:ascii="方正小标宋_GBK" w:hAnsi="方正小标宋_GBK" w:eastAsia="方正小标宋_GBK" w:cs="方正小标宋_GBK"/>
          <w:b w:val="0"/>
          <w:bCs/>
          <w:sz w:val="44"/>
          <w:szCs w:val="44"/>
          <w:highlight w:val="none"/>
          <w:lang w:eastAsia="zh-CN"/>
        </w:rPr>
        <w:t>《湖南省医疗保障局</w:t>
      </w:r>
      <w:r>
        <w:rPr>
          <w:rStyle w:val="9"/>
          <w:rFonts w:hint="eastAsia" w:ascii="方正小标宋_GBK" w:hAnsi="方正小标宋_GBK" w:eastAsia="方正小标宋_GBK" w:cs="方正小标宋_GBK"/>
          <w:b w:val="0"/>
          <w:bCs/>
          <w:sz w:val="44"/>
          <w:szCs w:val="44"/>
          <w:highlight w:val="none"/>
          <w:lang w:val="en-US" w:eastAsia="zh-CN"/>
        </w:rPr>
        <w:t xml:space="preserve"> </w:t>
      </w:r>
      <w:r>
        <w:rPr>
          <w:rStyle w:val="9"/>
          <w:rFonts w:hint="eastAsia" w:ascii="方正小标宋_GBK" w:hAnsi="方正小标宋_GBK" w:eastAsia="方正小标宋_GBK" w:cs="方正小标宋_GBK"/>
          <w:b w:val="0"/>
          <w:bCs/>
          <w:sz w:val="44"/>
          <w:szCs w:val="44"/>
          <w:highlight w:val="none"/>
          <w:lang w:eastAsia="zh-CN"/>
        </w:rPr>
        <w:t>关于印发</w:t>
      </w:r>
      <w:r>
        <w:rPr>
          <w:rStyle w:val="9"/>
          <w:rFonts w:hint="eastAsia" w:ascii="微软雅黑" w:hAnsi="微软雅黑" w:eastAsia="微软雅黑" w:cs="微软雅黑"/>
          <w:b w:val="0"/>
          <w:bCs/>
          <w:sz w:val="44"/>
          <w:szCs w:val="44"/>
          <w:highlight w:val="none"/>
          <w:lang w:eastAsia="zh-CN"/>
        </w:rPr>
        <w:t>〈</w:t>
      </w:r>
      <w:r>
        <w:rPr>
          <w:rStyle w:val="9"/>
          <w:rFonts w:hint="eastAsia" w:ascii="方正小标宋_GBK" w:hAnsi="方正小标宋_GBK" w:eastAsia="方正小标宋_GBK" w:cs="方正小标宋_GBK"/>
          <w:b w:val="0"/>
          <w:bCs/>
          <w:sz w:val="44"/>
          <w:szCs w:val="44"/>
          <w:highlight w:val="none"/>
        </w:rPr>
        <w:t>湖南省医疗保障基金使用监督管理行政处罚裁量基准适用办法</w:t>
      </w:r>
      <w:r>
        <w:rPr>
          <w:rStyle w:val="9"/>
          <w:rFonts w:hint="eastAsia" w:ascii="微软雅黑" w:hAnsi="微软雅黑" w:eastAsia="微软雅黑" w:cs="微软雅黑"/>
          <w:b w:val="0"/>
          <w:bCs/>
          <w:sz w:val="44"/>
          <w:szCs w:val="44"/>
          <w:highlight w:val="none"/>
          <w:lang w:eastAsia="zh-CN"/>
        </w:rPr>
        <w:t>〉</w:t>
      </w:r>
      <w:r>
        <w:rPr>
          <w:rStyle w:val="9"/>
          <w:rFonts w:hint="eastAsia" w:ascii="方正小标宋_GBK" w:hAnsi="方正小标宋_GBK" w:eastAsia="方正小标宋_GBK" w:cs="方正小标宋_GBK"/>
          <w:b w:val="0"/>
          <w:bCs/>
          <w:sz w:val="44"/>
          <w:szCs w:val="44"/>
          <w:highlight w:val="none"/>
        </w:rPr>
        <w:t>的通知</w:t>
      </w:r>
      <w:r>
        <w:rPr>
          <w:rStyle w:val="9"/>
          <w:rFonts w:hint="eastAsia" w:ascii="方正小标宋_GBK" w:hAnsi="方正小标宋_GBK" w:eastAsia="方正小标宋_GBK" w:cs="方正小标宋_GBK"/>
          <w:b w:val="0"/>
          <w:bCs/>
          <w:sz w:val="44"/>
          <w:szCs w:val="44"/>
          <w:highlight w:val="none"/>
          <w:lang w:eastAsia="zh-CN"/>
        </w:rPr>
        <w:t>》的通知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Style w:val="9"/>
          <w:rFonts w:hint="eastAsia" w:ascii="宋体" w:hAnsi="宋体" w:eastAsia="宋体" w:cs="宋体"/>
          <w:sz w:val="44"/>
          <w:szCs w:val="44"/>
          <w:highlight w:val="none"/>
        </w:rPr>
      </w:pPr>
    </w:p>
    <w:p>
      <w:pPr>
        <w:keepNext w:val="0"/>
        <w:keepLines w:val="0"/>
        <w:pageBreakBefore w:val="0"/>
        <w:widowControl w:val="0"/>
        <w:kinsoku/>
        <w:overflowPunct/>
        <w:topLinePunct/>
        <w:bidi w:val="0"/>
        <w:spacing w:line="580" w:lineRule="exact"/>
        <w:jc w:val="both"/>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局属各股室、医保事务中心、</w:t>
      </w:r>
      <w:r>
        <w:rPr>
          <w:rFonts w:hint="eastAsia" w:ascii="方正仿宋简体" w:hAnsi="方正仿宋简体" w:eastAsia="方正仿宋简体" w:cs="方正仿宋简体"/>
          <w:sz w:val="32"/>
          <w:szCs w:val="32"/>
          <w:lang w:eastAsia="zh-CN"/>
        </w:rPr>
        <w:t>医保</w:t>
      </w:r>
      <w:r>
        <w:rPr>
          <w:rFonts w:hint="eastAsia" w:ascii="方正仿宋简体" w:hAnsi="方正仿宋简体" w:eastAsia="方正仿宋简体" w:cs="方正仿宋简体"/>
          <w:sz w:val="32"/>
          <w:szCs w:val="32"/>
        </w:rPr>
        <w:t>稽核中心：</w:t>
      </w:r>
    </w:p>
    <w:p>
      <w:pPr>
        <w:keepNext w:val="0"/>
        <w:keepLines w:val="0"/>
        <w:pageBreakBefore w:val="0"/>
        <w:widowControl w:val="0"/>
        <w:kinsoku/>
        <w:wordWrap w:val="0"/>
        <w:overflowPunct w:val="0"/>
        <w:topLinePunct/>
        <w:autoSpaceDE/>
        <w:autoSpaceDN/>
        <w:bidi w:val="0"/>
        <w:adjustRightInd w:val="0"/>
        <w:snapToGrid w:val="0"/>
        <w:spacing w:line="560" w:lineRule="exact"/>
        <w:ind w:right="0" w:firstLine="640" w:firstLineChars="200"/>
        <w:jc w:val="both"/>
        <w:textAlignment w:val="baseline"/>
        <w:rPr>
          <w:rFonts w:hint="default"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eastAsia="zh-CN"/>
        </w:rPr>
        <w:t>现将湖南省医疗保障局 关于印发</w:t>
      </w:r>
      <w:r>
        <w:rPr>
          <w:rFonts w:hint="eastAsia" w:ascii="仿宋" w:hAnsi="仿宋" w:eastAsia="仿宋" w:cs="仿宋"/>
          <w:b w:val="0"/>
          <w:bCs w:val="0"/>
          <w:sz w:val="32"/>
          <w:szCs w:val="32"/>
          <w:highlight w:val="none"/>
        </w:rPr>
        <w:t>《湖南省医疗保障基金使用监督管理行政处罚裁量基准适用办法》的通知（湘医保发</w:t>
      </w:r>
      <w:r>
        <w:rPr>
          <w:rFonts w:hint="eastAsia" w:ascii="仿宋" w:hAnsi="仿宋" w:eastAsia="仿宋" w:cs="仿宋"/>
          <w:b w:val="0"/>
          <w:bCs w:val="0"/>
          <w:sz w:val="32"/>
          <w:szCs w:val="32"/>
          <w:highlight w:val="none"/>
          <w:lang w:val="en-US" w:eastAsia="zh-CN"/>
        </w:rPr>
        <w:t xml:space="preserve">  </w:t>
      </w:r>
    </w:p>
    <w:p>
      <w:pPr>
        <w:keepNext w:val="0"/>
        <w:keepLines w:val="0"/>
        <w:pageBreakBefore w:val="0"/>
        <w:widowControl w:val="0"/>
        <w:kinsoku/>
        <w:wordWrap w:val="0"/>
        <w:overflowPunct w:val="0"/>
        <w:topLinePunct/>
        <w:autoSpaceDE/>
        <w:autoSpaceDN/>
        <w:bidi w:val="0"/>
        <w:adjustRightInd w:val="0"/>
        <w:snapToGrid w:val="0"/>
        <w:spacing w:line="560" w:lineRule="exact"/>
        <w:ind w:right="0"/>
        <w:jc w:val="both"/>
        <w:textAlignment w:val="baseline"/>
        <w:rPr>
          <w:rFonts w:hint="eastAsia" w:ascii="仿宋" w:hAnsi="仿宋" w:eastAsia="仿宋" w:cs="仿宋"/>
          <w:b/>
          <w:bCs/>
          <w:color w:val="FF0000"/>
          <w:spacing w:val="0"/>
          <w:w w:val="100"/>
          <w:sz w:val="32"/>
          <w:szCs w:val="32"/>
          <w:highlight w:val="none"/>
        </w:rPr>
      </w:pPr>
      <w:r>
        <w:rPr>
          <w:rFonts w:hint="eastAsia" w:ascii="仿宋" w:hAnsi="仿宋" w:eastAsia="仿宋" w:cs="仿宋"/>
          <w:b w:val="0"/>
          <w:bCs w:val="0"/>
          <w:sz w:val="32"/>
          <w:szCs w:val="32"/>
          <w:highlight w:val="none"/>
        </w:rPr>
        <w:t>〔2021〕66号）</w:t>
      </w:r>
      <w:r>
        <w:rPr>
          <w:rFonts w:hint="eastAsia" w:ascii="仿宋" w:hAnsi="仿宋" w:eastAsia="仿宋" w:cs="仿宋"/>
          <w:b w:val="0"/>
          <w:bCs w:val="0"/>
          <w:sz w:val="32"/>
          <w:szCs w:val="32"/>
          <w:highlight w:val="none"/>
          <w:lang w:eastAsia="zh-CN"/>
        </w:rPr>
        <w:t>转发给你们</w:t>
      </w:r>
      <w:r>
        <w:rPr>
          <w:rFonts w:hint="eastAsia" w:ascii="仿宋" w:hAnsi="仿宋" w:eastAsia="仿宋" w:cs="仿宋"/>
          <w:b w:val="0"/>
          <w:bCs w:val="0"/>
          <w:sz w:val="32"/>
          <w:szCs w:val="32"/>
          <w:highlight w:val="none"/>
        </w:rPr>
        <w:t>，</w:t>
      </w:r>
      <w:r>
        <w:rPr>
          <w:rFonts w:hint="eastAsia" w:ascii="仿宋" w:hAnsi="仿宋" w:eastAsia="仿宋" w:cs="仿宋"/>
          <w:b w:val="0"/>
          <w:bCs w:val="0"/>
          <w:sz w:val="32"/>
          <w:szCs w:val="32"/>
          <w:highlight w:val="none"/>
          <w:lang w:eastAsia="zh-CN"/>
        </w:rPr>
        <w:t>根据相关要求，</w:t>
      </w:r>
      <w:r>
        <w:rPr>
          <w:rFonts w:hint="eastAsia" w:ascii="仿宋" w:hAnsi="仿宋" w:eastAsia="仿宋" w:cs="仿宋"/>
          <w:b w:val="0"/>
          <w:bCs w:val="0"/>
          <w:sz w:val="32"/>
          <w:szCs w:val="32"/>
          <w:highlight w:val="none"/>
        </w:rPr>
        <w:t>请</w:t>
      </w:r>
      <w:r>
        <w:rPr>
          <w:rFonts w:hint="eastAsia" w:ascii="方正仿宋简体" w:hAnsi="方正仿宋简体" w:eastAsia="方正仿宋简体" w:cs="方正仿宋简体"/>
          <w:sz w:val="32"/>
          <w:szCs w:val="32"/>
        </w:rPr>
        <w:t>各股室、医保事务中心、</w:t>
      </w:r>
      <w:r>
        <w:rPr>
          <w:rFonts w:hint="eastAsia" w:ascii="方正仿宋简体" w:hAnsi="方正仿宋简体" w:eastAsia="方正仿宋简体" w:cs="方正仿宋简体"/>
          <w:sz w:val="32"/>
          <w:szCs w:val="32"/>
          <w:lang w:eastAsia="zh-CN"/>
        </w:rPr>
        <w:t>医保</w:t>
      </w:r>
      <w:r>
        <w:rPr>
          <w:rFonts w:hint="eastAsia" w:ascii="方正仿宋简体" w:hAnsi="方正仿宋简体" w:eastAsia="方正仿宋简体" w:cs="方正仿宋简体"/>
          <w:sz w:val="32"/>
          <w:szCs w:val="32"/>
        </w:rPr>
        <w:t>稽核中心</w:t>
      </w:r>
      <w:r>
        <w:rPr>
          <w:rFonts w:hint="eastAsia" w:ascii="仿宋" w:hAnsi="仿宋" w:eastAsia="仿宋" w:cs="仿宋"/>
          <w:b w:val="0"/>
          <w:bCs w:val="0"/>
          <w:sz w:val="32"/>
          <w:szCs w:val="32"/>
          <w:highlight w:val="none"/>
        </w:rPr>
        <w:t>认真</w:t>
      </w:r>
      <w:r>
        <w:rPr>
          <w:rFonts w:hint="eastAsia" w:ascii="仿宋" w:hAnsi="仿宋" w:eastAsia="仿宋" w:cs="仿宋"/>
          <w:b w:val="0"/>
          <w:bCs w:val="0"/>
          <w:sz w:val="32"/>
          <w:szCs w:val="32"/>
          <w:highlight w:val="none"/>
          <w:lang w:eastAsia="zh-CN"/>
        </w:rPr>
        <w:t>遵照</w:t>
      </w:r>
      <w:r>
        <w:rPr>
          <w:rFonts w:hint="eastAsia" w:ascii="仿宋" w:hAnsi="仿宋" w:eastAsia="仿宋" w:cs="仿宋"/>
          <w:b w:val="0"/>
          <w:bCs w:val="0"/>
          <w:sz w:val="32"/>
          <w:szCs w:val="32"/>
          <w:highlight w:val="none"/>
        </w:rPr>
        <w:t>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480" w:firstLineChars="1400"/>
        <w:jc w:val="both"/>
        <w:textAlignment w:val="auto"/>
        <w:rPr>
          <w:rFonts w:hint="eastAsia" w:ascii="仿宋" w:hAnsi="仿宋" w:eastAsia="仿宋" w:cs="仿宋"/>
          <w:b w:val="0"/>
          <w:bCs w:val="0"/>
          <w:sz w:val="32"/>
          <w:szCs w:val="32"/>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480" w:firstLineChars="1400"/>
        <w:jc w:val="both"/>
        <w:textAlignment w:val="auto"/>
        <w:rPr>
          <w:rFonts w:hint="eastAsia" w:ascii="仿宋" w:hAnsi="仿宋" w:eastAsia="仿宋" w:cs="仿宋"/>
          <w:b w:val="0"/>
          <w:bCs w:val="0"/>
          <w:sz w:val="32"/>
          <w:szCs w:val="32"/>
          <w:lang w:val="en-US" w:eastAsia="zh-CN"/>
        </w:rPr>
      </w:pPr>
    </w:p>
    <w:p>
      <w:pPr>
        <w:spacing w:line="800" w:lineRule="exact"/>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 xml:space="preserve"> 沅江市医疗保障局</w:t>
      </w:r>
    </w:p>
    <w:p>
      <w:pPr>
        <w:spacing w:line="800" w:lineRule="exact"/>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202</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lang w:val="en-US" w:eastAsia="zh-CN"/>
        </w:rPr>
        <w:t>9</w:t>
      </w:r>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sz w:val="32"/>
          <w:szCs w:val="32"/>
          <w:lang w:val="en-US" w:eastAsia="zh-CN"/>
        </w:rPr>
        <w:t>18</w:t>
      </w:r>
      <w:r>
        <w:rPr>
          <w:rFonts w:hint="eastAsia" w:ascii="方正仿宋简体" w:hAnsi="方正仿宋简体" w:eastAsia="方正仿宋简体" w:cs="方正仿宋简体"/>
          <w:sz w:val="32"/>
          <w:szCs w:val="32"/>
        </w:rPr>
        <w:t xml:space="preserve">日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Style w:val="9"/>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Style w:val="9"/>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Style w:val="9"/>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Style w:val="9"/>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Style w:val="9"/>
          <w:rFonts w:hint="eastAsia" w:ascii="方正小标宋_GBK" w:hAnsi="方正小标宋_GBK" w:eastAsia="方正小标宋_GBK" w:cs="方正小标宋_GBK"/>
          <w:b w:val="0"/>
          <w:bCs/>
          <w:sz w:val="44"/>
          <w:szCs w:val="44"/>
        </w:rPr>
      </w:pPr>
      <w:r>
        <w:rPr>
          <w:rStyle w:val="9"/>
          <w:rFonts w:hint="eastAsia" w:ascii="方正小标宋_GBK" w:hAnsi="方正小标宋_GBK" w:eastAsia="方正小标宋_GBK" w:cs="方正小标宋_GBK"/>
          <w:b w:val="0"/>
          <w:bCs/>
          <w:sz w:val="44"/>
          <w:szCs w:val="44"/>
        </w:rPr>
        <w:t>湖南省医疗保障基金使用监督管理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Style w:val="9"/>
          <w:rFonts w:hint="eastAsia"/>
          <w:sz w:val="32"/>
          <w:szCs w:val="32"/>
        </w:rPr>
      </w:pPr>
      <w:r>
        <w:rPr>
          <w:rStyle w:val="9"/>
          <w:rFonts w:hint="eastAsia" w:ascii="方正小标宋_GBK" w:hAnsi="方正小标宋_GBK" w:eastAsia="方正小标宋_GBK" w:cs="方正小标宋_GBK"/>
          <w:b w:val="0"/>
          <w:bCs/>
          <w:sz w:val="44"/>
          <w:szCs w:val="44"/>
        </w:rPr>
        <w:t>行政处罚裁量基准适用办法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9"/>
          <w:rFonts w:hint="eastAsia"/>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center"/>
        <w:textAlignment w:val="auto"/>
        <w:rPr>
          <w:rStyle w:val="9"/>
          <w:rFonts w:hint="eastAsia" w:ascii="方正仿宋简体" w:hAnsi="方正仿宋简体" w:eastAsia="方正仿宋简体" w:cs="方正仿宋简体"/>
          <w:b w:val="0"/>
          <w:bCs/>
          <w:sz w:val="32"/>
          <w:szCs w:val="32"/>
        </w:rPr>
      </w:pPr>
      <w:r>
        <w:rPr>
          <w:rStyle w:val="9"/>
          <w:rFonts w:hint="eastAsia" w:ascii="方正小标宋_GBK" w:hAnsi="方正小标宋_GBK" w:eastAsia="方正小标宋_GBK" w:cs="方正小标宋_GBK"/>
          <w:b w:val="0"/>
          <w:bCs/>
          <w:sz w:val="32"/>
          <w:szCs w:val="32"/>
        </w:rPr>
        <w:t>第一章  一般规定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bCs w:val="0"/>
          <w:sz w:val="32"/>
          <w:szCs w:val="32"/>
        </w:rPr>
        <w:t>第一条</w:t>
      </w:r>
      <w:r>
        <w:rPr>
          <w:rStyle w:val="9"/>
          <w:rFonts w:hint="eastAsia" w:ascii="方正仿宋简体" w:hAnsi="方正仿宋简体" w:eastAsia="方正仿宋简体" w:cs="方正仿宋简体"/>
          <w:b w:val="0"/>
          <w:bCs/>
          <w:sz w:val="32"/>
          <w:szCs w:val="32"/>
          <w:lang w:val="en-US" w:eastAsia="zh-CN"/>
        </w:rPr>
        <w:t xml:space="preserve"> </w:t>
      </w:r>
      <w:r>
        <w:rPr>
          <w:rStyle w:val="9"/>
          <w:rFonts w:hint="eastAsia" w:ascii="方正仿宋简体" w:hAnsi="方正仿宋简体" w:eastAsia="方正仿宋简体" w:cs="方正仿宋简体"/>
          <w:b w:val="0"/>
          <w:bCs/>
          <w:sz w:val="32"/>
          <w:szCs w:val="32"/>
        </w:rPr>
        <w:t>为规范医疗保障基金使用监督管理行政处罚裁量权，根据《中华人民共和国行政处罚法》《医疗保障基金使用监督管理条例》等法律法规和《湖南省规范行政裁量权办法》(湖南省人民政府令244号)、《规范医疗保障基金使用监督管理行政处罚裁量权办法》(医保发〔2021〕35号)有关规定，结合工作实际，制定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bCs w:val="0"/>
          <w:sz w:val="32"/>
          <w:szCs w:val="32"/>
        </w:rPr>
        <w:t>第二条</w:t>
      </w:r>
      <w:r>
        <w:rPr>
          <w:rStyle w:val="9"/>
          <w:rFonts w:hint="eastAsia" w:ascii="方正仿宋简体" w:hAnsi="方正仿宋简体" w:eastAsia="方正仿宋简体" w:cs="方正仿宋简体"/>
          <w:b/>
          <w:bCs w:val="0"/>
          <w:sz w:val="32"/>
          <w:szCs w:val="32"/>
          <w:lang w:val="en-US" w:eastAsia="zh-CN"/>
        </w:rPr>
        <w:t xml:space="preserve"> </w:t>
      </w:r>
      <w:r>
        <w:rPr>
          <w:rStyle w:val="9"/>
          <w:rFonts w:hint="eastAsia" w:ascii="方正仿宋简体" w:hAnsi="方正仿宋简体" w:eastAsia="方正仿宋简体" w:cs="方正仿宋简体"/>
          <w:b w:val="0"/>
          <w:bCs/>
          <w:sz w:val="32"/>
          <w:szCs w:val="32"/>
        </w:rPr>
        <w:t>本办法所称医疗保障基金使用监督管理行政处罚裁量权，是指医疗保障行政部门在实施医疗保障基金使用监督管理行政处罚时，根据法律、法规、规章等规定，综合考虑违法行为的事实、性质、情节、社会危害程度以及当事人主观过错等因素，决定是否给予行政处罚、给予行政处罚种类及处罚幅度的权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val="0"/>
          <w:bCs/>
          <w:sz w:val="32"/>
          <w:szCs w:val="32"/>
        </w:rPr>
        <w:t>本办法所称医疗保障基金使用监督管理行政处罚裁量基准，是指医疗保障行政部门对法律、法规、规章规定的具有行政裁量权的内容进行细化、量化，从而形成的具体适用规则和标准。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bCs w:val="0"/>
          <w:sz w:val="32"/>
          <w:szCs w:val="32"/>
        </w:rPr>
        <w:t>第三条</w:t>
      </w:r>
      <w:r>
        <w:rPr>
          <w:rStyle w:val="9"/>
          <w:rFonts w:hint="eastAsia" w:ascii="方正仿宋简体" w:hAnsi="方正仿宋简体" w:eastAsia="方正仿宋简体" w:cs="方正仿宋简体"/>
          <w:b w:val="0"/>
          <w:bCs/>
          <w:sz w:val="32"/>
          <w:szCs w:val="32"/>
          <w:lang w:val="en-US" w:eastAsia="zh-CN"/>
        </w:rPr>
        <w:t xml:space="preserve"> </w:t>
      </w:r>
      <w:r>
        <w:rPr>
          <w:rStyle w:val="9"/>
          <w:rFonts w:hint="eastAsia" w:ascii="方正仿宋简体" w:hAnsi="方正仿宋简体" w:eastAsia="方正仿宋简体" w:cs="方正仿宋简体"/>
          <w:b w:val="0"/>
          <w:bCs/>
          <w:sz w:val="32"/>
          <w:szCs w:val="32"/>
        </w:rPr>
        <w:t>医疗保障行政部门行使行政处罚裁量权，应当坚持公正、公开原则，坚持处罚与教育相结合原则，坚持处罚法定、程序正当的原则，依法合理行使裁量权。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bCs w:val="0"/>
          <w:sz w:val="32"/>
          <w:szCs w:val="32"/>
        </w:rPr>
        <w:t>第四条</w:t>
      </w:r>
      <w:r>
        <w:rPr>
          <w:rStyle w:val="9"/>
          <w:rFonts w:hint="eastAsia" w:ascii="方正仿宋简体" w:hAnsi="方正仿宋简体" w:eastAsia="方正仿宋简体" w:cs="方正仿宋简体"/>
          <w:b w:val="0"/>
          <w:bCs/>
          <w:sz w:val="32"/>
          <w:szCs w:val="32"/>
        </w:rPr>
        <w:t> 医疗保障行政部门行使行政处罚裁量权应当符合法律目的，排除不相关因素的干扰，所采取的措施和手段应当必要、适当。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bCs w:val="0"/>
          <w:sz w:val="32"/>
          <w:szCs w:val="32"/>
        </w:rPr>
        <w:t>第五条</w:t>
      </w:r>
      <w:r>
        <w:rPr>
          <w:rStyle w:val="9"/>
          <w:rFonts w:hint="eastAsia" w:ascii="方正仿宋简体" w:hAnsi="方正仿宋简体" w:eastAsia="方正仿宋简体" w:cs="方正仿宋简体"/>
          <w:b w:val="0"/>
          <w:bCs/>
          <w:sz w:val="32"/>
          <w:szCs w:val="32"/>
        </w:rPr>
        <w:t> 医疗保障行政部门行使行政处罚裁量权，应当以事实为依据，行政处罚的种类和幅度应当与违法行为的事实、性质、情节、社会危害程度相当，与违法行为发生地的经济社会发展水平相适应。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val="0"/>
          <w:bCs/>
          <w:sz w:val="32"/>
          <w:szCs w:val="32"/>
        </w:rPr>
        <w:t>违法事实、性质、情节及社会危害后果等相同或相近的违法行为，同一行政区域行政处罚的种类和幅度应当基本一致。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eastAsia" w:ascii="方正仿宋简体" w:hAnsi="方正仿宋简体" w:eastAsia="方正仿宋简体" w:cs="方正仿宋简体"/>
          <w:b w:val="0"/>
          <w:bCs/>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Style w:val="9"/>
          <w:rFonts w:hint="eastAsia" w:ascii="方正小标宋_GBK" w:hAnsi="方正小标宋_GBK" w:eastAsia="方正小标宋_GBK" w:cs="方正小标宋_GBK"/>
          <w:b w:val="0"/>
          <w:bCs/>
          <w:sz w:val="32"/>
          <w:szCs w:val="32"/>
        </w:rPr>
      </w:pPr>
      <w:r>
        <w:rPr>
          <w:rStyle w:val="9"/>
          <w:rFonts w:hint="eastAsia" w:ascii="方正小标宋_GBK" w:hAnsi="方正小标宋_GBK" w:eastAsia="方正小标宋_GBK" w:cs="方正小标宋_GBK"/>
          <w:b w:val="0"/>
          <w:bCs/>
          <w:sz w:val="32"/>
          <w:szCs w:val="32"/>
        </w:rPr>
        <w:t>第二章 行政处罚裁量档次的划分及其适用情形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eastAsia" w:ascii="方正仿宋简体" w:hAnsi="方正仿宋简体" w:eastAsia="方正仿宋简体" w:cs="方正仿宋简体"/>
          <w:b w:val="0"/>
          <w:bCs/>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bCs w:val="0"/>
          <w:sz w:val="32"/>
          <w:szCs w:val="32"/>
        </w:rPr>
        <w:t>第六条</w:t>
      </w:r>
      <w:r>
        <w:rPr>
          <w:rStyle w:val="9"/>
          <w:rFonts w:hint="eastAsia" w:ascii="方正仿宋简体" w:hAnsi="方正仿宋简体" w:eastAsia="方正仿宋简体" w:cs="方正仿宋简体"/>
          <w:b w:val="0"/>
          <w:bCs/>
          <w:sz w:val="32"/>
          <w:szCs w:val="32"/>
          <w:lang w:val="en-US" w:eastAsia="zh-CN"/>
        </w:rPr>
        <w:t xml:space="preserve"> </w:t>
      </w:r>
      <w:r>
        <w:rPr>
          <w:rStyle w:val="9"/>
          <w:rFonts w:hint="eastAsia" w:ascii="方正仿宋简体" w:hAnsi="方正仿宋简体" w:eastAsia="方正仿宋简体" w:cs="方正仿宋简体"/>
          <w:b w:val="0"/>
          <w:bCs/>
          <w:sz w:val="32"/>
          <w:szCs w:val="32"/>
        </w:rPr>
        <w:t>根据违反医疗保障基金使用监督管理法律、法规、规章行为的情节和社会危害程度轻重，将违法行为划为“轻微违法行为”“一般违法行为”“较重违法行为”“严重违法行为”四个档次，针对各类违法行为分别设定从轻处罚、一般处罚、较重处罚、从重处罚四个裁量档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val="0"/>
          <w:bCs/>
          <w:sz w:val="32"/>
          <w:szCs w:val="32"/>
        </w:rPr>
        <w:t>符合法定不予处罚、减轻处罚条件的，依法不予处罚、减轻处罚。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bCs w:val="0"/>
          <w:sz w:val="32"/>
          <w:szCs w:val="32"/>
        </w:rPr>
        <w:t>第七条</w:t>
      </w:r>
      <w:r>
        <w:rPr>
          <w:rStyle w:val="9"/>
          <w:rFonts w:hint="eastAsia" w:ascii="方正仿宋简体" w:hAnsi="方正仿宋简体" w:eastAsia="方正仿宋简体" w:cs="方正仿宋简体"/>
          <w:b w:val="0"/>
          <w:bCs/>
          <w:sz w:val="32"/>
          <w:szCs w:val="32"/>
          <w:lang w:val="en-US" w:eastAsia="zh-CN"/>
        </w:rPr>
        <w:t xml:space="preserve"> </w:t>
      </w:r>
      <w:r>
        <w:rPr>
          <w:rStyle w:val="9"/>
          <w:rFonts w:hint="eastAsia" w:ascii="方正仿宋简体" w:hAnsi="方正仿宋简体" w:eastAsia="方正仿宋简体" w:cs="方正仿宋简体"/>
          <w:b w:val="0"/>
          <w:bCs/>
          <w:sz w:val="32"/>
          <w:szCs w:val="32"/>
        </w:rPr>
        <w:t>有下列情形之一的，应当不予处罚：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val="0"/>
          <w:bCs/>
          <w:sz w:val="32"/>
          <w:szCs w:val="32"/>
        </w:rPr>
        <w:t>(一)违法事实不清，证据不足的；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val="0"/>
          <w:bCs/>
          <w:sz w:val="32"/>
          <w:szCs w:val="32"/>
        </w:rPr>
        <w:t>(二)违法行为轻微并及时改正，没有造成危害后果的；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val="0"/>
          <w:bCs/>
          <w:sz w:val="32"/>
          <w:szCs w:val="32"/>
        </w:rPr>
        <w:t>(三)未满14周岁的未成年人实施违法行为的；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val="0"/>
          <w:bCs/>
          <w:sz w:val="32"/>
          <w:szCs w:val="32"/>
        </w:rPr>
        <w:t>(四)精神病人、智力残疾人在不能辨认或控制自己行为时实施违法行为的；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val="0"/>
          <w:bCs/>
          <w:sz w:val="32"/>
          <w:szCs w:val="32"/>
        </w:rPr>
        <w:t>(五)除法律、行政法规另有规定外，当事人有证据足以证明没有主观过错的；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val="0"/>
          <w:bCs/>
          <w:sz w:val="32"/>
          <w:szCs w:val="32"/>
        </w:rPr>
        <w:t>(六)法律、法规、规章规定不予处罚的其他情形。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val="0"/>
          <w:bCs/>
          <w:sz w:val="32"/>
          <w:szCs w:val="32"/>
        </w:rPr>
        <w:t>违法行为在二年内未被发现的，不再给予行政处罚；涉及公民生命健康安全、金融安全且有危害后果的，上述期限延长至五年。法律另有规定的除外。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bCs w:val="0"/>
          <w:sz w:val="32"/>
          <w:szCs w:val="32"/>
        </w:rPr>
        <w:t>第八条</w:t>
      </w:r>
      <w:r>
        <w:rPr>
          <w:rStyle w:val="9"/>
          <w:rFonts w:hint="eastAsia" w:ascii="方正仿宋简体" w:hAnsi="方正仿宋简体" w:eastAsia="方正仿宋简体" w:cs="方正仿宋简体"/>
          <w:b w:val="0"/>
          <w:bCs/>
          <w:sz w:val="32"/>
          <w:szCs w:val="32"/>
        </w:rPr>
        <w:t> 有下列情形之一的，医疗保障行政部门应当从轻或减轻处罚：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val="0"/>
          <w:bCs/>
          <w:sz w:val="32"/>
          <w:szCs w:val="32"/>
        </w:rPr>
        <w:t>(一)已满十四周岁不满十八周岁的未成年人实施违法行为的；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val="0"/>
          <w:bCs/>
          <w:sz w:val="32"/>
          <w:szCs w:val="32"/>
        </w:rPr>
        <w:t>(二)主动消除或减轻基金使用违法行为危害后果的；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val="0"/>
          <w:bCs/>
          <w:sz w:val="32"/>
          <w:szCs w:val="32"/>
        </w:rPr>
        <w:t>(三)受他人胁迫或者诱骗实施违法行为的；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val="0"/>
          <w:bCs/>
          <w:sz w:val="32"/>
          <w:szCs w:val="32"/>
        </w:rPr>
        <w:t>(四)主动供述行政机关尚未掌握的基金使用违法行为的关键线索或证据，并经查证属实的；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val="0"/>
          <w:bCs/>
          <w:sz w:val="32"/>
          <w:szCs w:val="32"/>
        </w:rPr>
        <w:t>(五)积极配合行政机关查处违法行为、如实陈述违法事实并主动提供证据材料的；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val="0"/>
          <w:bCs/>
          <w:sz w:val="32"/>
          <w:szCs w:val="32"/>
        </w:rPr>
        <w:t>(六)主动投案向行政机关如实交代违法行为的；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val="0"/>
          <w:bCs/>
          <w:sz w:val="32"/>
          <w:szCs w:val="32"/>
        </w:rPr>
        <w:t>(七)法律、法规、规章规定应当从轻或减轻处罚的其他情形。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bCs w:val="0"/>
          <w:sz w:val="32"/>
          <w:szCs w:val="32"/>
        </w:rPr>
        <w:t>第九条</w:t>
      </w:r>
      <w:r>
        <w:rPr>
          <w:rStyle w:val="9"/>
          <w:rFonts w:hint="eastAsia" w:ascii="方正仿宋简体" w:hAnsi="方正仿宋简体" w:eastAsia="方正仿宋简体" w:cs="方正仿宋简体"/>
          <w:b w:val="0"/>
          <w:bCs/>
          <w:sz w:val="32"/>
          <w:szCs w:val="32"/>
        </w:rPr>
        <w:t> 有下列情形之一的，医疗保障行政部门可以从轻或减轻处罚：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val="0"/>
          <w:bCs/>
          <w:sz w:val="32"/>
          <w:szCs w:val="32"/>
        </w:rPr>
        <w:t>(一)尚未完全丧失辨认或者控制自己行为能力的精神病人、智力残疾人有违法行为的；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val="0"/>
          <w:bCs/>
          <w:sz w:val="32"/>
          <w:szCs w:val="32"/>
        </w:rPr>
        <w:t>(二)初次违法且危害后果轻微并及时改正的；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val="0"/>
          <w:bCs/>
          <w:sz w:val="32"/>
          <w:szCs w:val="32"/>
        </w:rPr>
        <w:t>(三)法律、法规、规章规定可以从轻或减轻处罚的其他情形。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bCs w:val="0"/>
          <w:sz w:val="32"/>
          <w:szCs w:val="32"/>
        </w:rPr>
        <w:t>第十条</w:t>
      </w:r>
      <w:r>
        <w:rPr>
          <w:rStyle w:val="9"/>
          <w:rFonts w:hint="eastAsia" w:ascii="方正仿宋简体" w:hAnsi="方正仿宋简体" w:eastAsia="方正仿宋简体" w:cs="方正仿宋简体"/>
          <w:b w:val="0"/>
          <w:bCs/>
          <w:sz w:val="32"/>
          <w:szCs w:val="32"/>
        </w:rPr>
        <w:t> 有下列情形之一的，医疗保障行政部门应当从重处罚：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val="0"/>
          <w:bCs/>
          <w:sz w:val="32"/>
          <w:szCs w:val="32"/>
        </w:rPr>
        <w:t>(一)违法情节恶劣，造成严重危害后果的；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val="0"/>
          <w:bCs/>
          <w:sz w:val="32"/>
          <w:szCs w:val="32"/>
        </w:rPr>
        <w:t>(二)责令改正拒不改正，或者一年内实施两次以上同一性质违法行为的；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val="0"/>
          <w:bCs/>
          <w:sz w:val="32"/>
          <w:szCs w:val="32"/>
        </w:rPr>
        <w:t>(三)妨碍、阻挠或者抗拒执法人员依法调查、处理其违法行为的；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val="0"/>
          <w:bCs/>
          <w:sz w:val="32"/>
          <w:szCs w:val="32"/>
        </w:rPr>
        <w:t>(四)故意转移、隐匿、毁坏或伪造证据，或者对举报投诉人、证人打击报复的；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val="0"/>
          <w:bCs/>
          <w:sz w:val="32"/>
          <w:szCs w:val="32"/>
        </w:rPr>
        <w:t>(五)法律、法规、规章规定应当从重处罚的其他情形。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eastAsia" w:ascii="方正仿宋简体" w:hAnsi="方正仿宋简体" w:eastAsia="方正仿宋简体" w:cs="方正仿宋简体"/>
          <w:b w:val="0"/>
          <w:bCs/>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Style w:val="9"/>
          <w:rFonts w:hint="eastAsia" w:ascii="方正小标宋_GBK" w:hAnsi="方正小标宋_GBK" w:eastAsia="方正小标宋_GBK" w:cs="方正小标宋_GBK"/>
          <w:b w:val="0"/>
          <w:bCs/>
          <w:sz w:val="32"/>
          <w:szCs w:val="32"/>
        </w:rPr>
      </w:pPr>
      <w:r>
        <w:rPr>
          <w:rStyle w:val="9"/>
          <w:rFonts w:hint="eastAsia" w:ascii="方正小标宋_GBK" w:hAnsi="方正小标宋_GBK" w:eastAsia="方正小标宋_GBK" w:cs="方正小标宋_GBK"/>
          <w:b w:val="0"/>
          <w:bCs/>
          <w:sz w:val="32"/>
          <w:szCs w:val="32"/>
        </w:rPr>
        <w:t>第三章 行政处罚裁量权的实施规则及程序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eastAsia" w:ascii="方正仿宋简体" w:hAnsi="方正仿宋简体" w:eastAsia="方正仿宋简体" w:cs="方正仿宋简体"/>
          <w:b w:val="0"/>
          <w:bCs/>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bCs w:val="0"/>
          <w:sz w:val="32"/>
          <w:szCs w:val="32"/>
        </w:rPr>
        <w:t>第十一条</w:t>
      </w:r>
      <w:r>
        <w:rPr>
          <w:rStyle w:val="9"/>
          <w:rFonts w:hint="eastAsia" w:ascii="方正仿宋简体" w:hAnsi="方正仿宋简体" w:eastAsia="方正仿宋简体" w:cs="方正仿宋简体"/>
          <w:b w:val="0"/>
          <w:bCs/>
          <w:sz w:val="32"/>
          <w:szCs w:val="32"/>
          <w:lang w:val="en-US" w:eastAsia="zh-CN"/>
        </w:rPr>
        <w:t xml:space="preserve"> </w:t>
      </w:r>
      <w:r>
        <w:rPr>
          <w:rStyle w:val="9"/>
          <w:rFonts w:hint="eastAsia" w:ascii="方正仿宋简体" w:hAnsi="方正仿宋简体" w:eastAsia="方正仿宋简体" w:cs="方正仿宋简体"/>
          <w:b w:val="0"/>
          <w:bCs/>
          <w:sz w:val="32"/>
          <w:szCs w:val="32"/>
        </w:rPr>
        <w:t>医疗保障行政部门给予从轻处罚、一般处罚、较重处罚、从重处罚的，应当在法定行政处罚种类和幅度内，选择相应的行政处罚；给予减轻处罚的，依法在法定行政处罚的最低限度以下作出。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bCs w:val="0"/>
          <w:sz w:val="32"/>
          <w:szCs w:val="32"/>
        </w:rPr>
        <w:t>第十二条</w:t>
      </w:r>
      <w:r>
        <w:rPr>
          <w:rStyle w:val="9"/>
          <w:rFonts w:hint="eastAsia" w:ascii="方正仿宋简体" w:hAnsi="方正仿宋简体" w:eastAsia="方正仿宋简体" w:cs="方正仿宋简体"/>
          <w:b w:val="0"/>
          <w:bCs/>
          <w:sz w:val="32"/>
          <w:szCs w:val="32"/>
          <w:lang w:val="en-US" w:eastAsia="zh-CN"/>
        </w:rPr>
        <w:t xml:space="preserve"> </w:t>
      </w:r>
      <w:r>
        <w:rPr>
          <w:rStyle w:val="9"/>
          <w:rFonts w:hint="eastAsia" w:ascii="方正仿宋简体" w:hAnsi="方正仿宋简体" w:eastAsia="方正仿宋简体" w:cs="方正仿宋简体"/>
          <w:b w:val="0"/>
          <w:bCs/>
          <w:sz w:val="32"/>
          <w:szCs w:val="32"/>
        </w:rPr>
        <w:t>法律、法规、规章明确规定对行政处罚的种类可以选择单处或者并处的，医疗保障行政部门可以选择适用；法律、法规、规章明确规定应当并处，或者应当先没收违法所得再作其他处罚的，不得选择适用。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bCs w:val="0"/>
          <w:sz w:val="32"/>
          <w:szCs w:val="32"/>
        </w:rPr>
        <w:t>第十三条</w:t>
      </w:r>
      <w:r>
        <w:rPr>
          <w:rStyle w:val="9"/>
          <w:rFonts w:hint="eastAsia" w:ascii="方正仿宋简体" w:hAnsi="方正仿宋简体" w:eastAsia="方正仿宋简体" w:cs="方正仿宋简体"/>
          <w:b w:val="0"/>
          <w:bCs/>
          <w:sz w:val="32"/>
          <w:szCs w:val="32"/>
        </w:rPr>
        <w:t> 除法律、法规、规章另有规定外，罚款处罚的数额按照以下标准确定：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val="0"/>
          <w:bCs/>
          <w:sz w:val="32"/>
          <w:szCs w:val="32"/>
        </w:rPr>
        <w:t>(一)罚款为一定幅度的数额，并同时规定了最低罚款数额和最高罚款数额的，从轻处罚应低于最高罚款数额与最低罚款数额的中间值，从重处罚应高于中间值；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val="0"/>
          <w:bCs/>
          <w:sz w:val="32"/>
          <w:szCs w:val="32"/>
        </w:rPr>
        <w:t>(二)罚款为一定金额的倍数，并同时规定了最低罚款倍数和最高罚款倍数的，从轻处罚应低于最低罚款倍数和最高罚款倍数的中间倍数，从重处罚应高于中间倍数。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bCs w:val="0"/>
          <w:sz w:val="32"/>
          <w:szCs w:val="32"/>
        </w:rPr>
        <w:t>第十四条</w:t>
      </w:r>
      <w:r>
        <w:rPr>
          <w:rStyle w:val="9"/>
          <w:rFonts w:hint="eastAsia" w:ascii="方正仿宋简体" w:hAnsi="方正仿宋简体" w:eastAsia="方正仿宋简体" w:cs="方正仿宋简体"/>
          <w:b w:val="0"/>
          <w:bCs/>
          <w:sz w:val="32"/>
          <w:szCs w:val="32"/>
        </w:rPr>
        <w:t> 同时具有两个以上从重情节、且不具有从轻或者减轻情节的，应当在违法行为对应的处罚幅度内按最高档次实施处罚。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val="0"/>
          <w:bCs/>
          <w:sz w:val="32"/>
          <w:szCs w:val="32"/>
        </w:rPr>
        <w:t>同时具有两个以上从轻情节、且不具有从重情节的，应当在违法行为对应的处罚幅度内按最低档次实施处罚。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val="0"/>
          <w:bCs/>
          <w:sz w:val="32"/>
          <w:szCs w:val="32"/>
        </w:rPr>
        <w:t>同时具有从重和从轻或减轻情节的，应当根据违法行为的性质和主要情节确定对应的处罚幅度，综合考虑后实施处罚。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bCs w:val="0"/>
          <w:sz w:val="32"/>
          <w:szCs w:val="32"/>
        </w:rPr>
        <w:t>第十五条</w:t>
      </w:r>
      <w:r>
        <w:rPr>
          <w:rStyle w:val="9"/>
          <w:rFonts w:hint="eastAsia" w:ascii="方正仿宋简体" w:hAnsi="方正仿宋简体" w:eastAsia="方正仿宋简体" w:cs="方正仿宋简体"/>
          <w:b w:val="0"/>
          <w:bCs/>
          <w:sz w:val="32"/>
          <w:szCs w:val="32"/>
          <w:lang w:val="en-US" w:eastAsia="zh-CN"/>
        </w:rPr>
        <w:t xml:space="preserve"> </w:t>
      </w:r>
      <w:r>
        <w:rPr>
          <w:rStyle w:val="9"/>
          <w:rFonts w:hint="eastAsia" w:ascii="方正仿宋简体" w:hAnsi="方正仿宋简体" w:eastAsia="方正仿宋简体" w:cs="方正仿宋简体"/>
          <w:b w:val="0"/>
          <w:bCs/>
          <w:sz w:val="32"/>
          <w:szCs w:val="32"/>
        </w:rPr>
        <w:t>行政处罚案件调查终结后，需要对违法行为实施行政处罚的，案件承办部门应当制作案件调查终结报告并拟定行政处罚决定书。拟定的行政处罚决定书中应当载明拟作出行政处罚的种类和幅度，并说明行政处罚决定裁量的理由和依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bCs w:val="0"/>
          <w:sz w:val="32"/>
          <w:szCs w:val="32"/>
        </w:rPr>
        <w:t>第十六条</w:t>
      </w:r>
      <w:r>
        <w:rPr>
          <w:rStyle w:val="9"/>
          <w:rFonts w:hint="eastAsia" w:ascii="方正仿宋简体" w:hAnsi="方正仿宋简体" w:eastAsia="方正仿宋简体" w:cs="方正仿宋简体"/>
          <w:b w:val="0"/>
          <w:bCs/>
          <w:sz w:val="32"/>
          <w:szCs w:val="32"/>
          <w:lang w:val="en-US" w:eastAsia="zh-CN"/>
        </w:rPr>
        <w:t xml:space="preserve"> </w:t>
      </w:r>
      <w:r>
        <w:rPr>
          <w:rStyle w:val="9"/>
          <w:rFonts w:hint="eastAsia" w:ascii="方正仿宋简体" w:hAnsi="方正仿宋简体" w:eastAsia="方正仿宋简体" w:cs="方正仿宋简体"/>
          <w:b w:val="0"/>
          <w:bCs/>
          <w:sz w:val="32"/>
          <w:szCs w:val="32"/>
        </w:rPr>
        <w:t>各级医疗保障行政部门行使行政处罚裁量权时，应当充分保障当事人的知情权、陈述权、申辩权，对当事人提出的事实、理由和证据，要进行复核；当事人提出的事实、理由或者证据成立的，应当采纳。不得因当事人的陈述申辩而加重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bCs w:val="0"/>
          <w:sz w:val="32"/>
          <w:szCs w:val="32"/>
        </w:rPr>
        <w:t>第十七条</w:t>
      </w:r>
      <w:r>
        <w:rPr>
          <w:rStyle w:val="9"/>
          <w:rFonts w:hint="eastAsia" w:ascii="方正仿宋简体" w:hAnsi="方正仿宋简体" w:eastAsia="方正仿宋简体" w:cs="方正仿宋简体"/>
          <w:b w:val="0"/>
          <w:bCs/>
          <w:sz w:val="32"/>
          <w:szCs w:val="32"/>
          <w:lang w:val="en-US" w:eastAsia="zh-CN"/>
        </w:rPr>
        <w:t xml:space="preserve"> </w:t>
      </w:r>
      <w:r>
        <w:rPr>
          <w:rStyle w:val="9"/>
          <w:rFonts w:hint="eastAsia" w:ascii="方正仿宋简体" w:hAnsi="方正仿宋简体" w:eastAsia="方正仿宋简体" w:cs="方正仿宋简体"/>
          <w:b w:val="0"/>
          <w:bCs/>
          <w:sz w:val="32"/>
          <w:szCs w:val="32"/>
        </w:rPr>
        <w:t>违法行为涉嫌构成犯罪的，医疗保障行政部门应当按照国家和湖南省有关规定移送司法机关依法追究刑事责任，不得以行政处罚代替追究刑事责任。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eastAsia" w:ascii="方正仿宋简体" w:hAnsi="方正仿宋简体" w:eastAsia="方正仿宋简体" w:cs="方正仿宋简体"/>
          <w:b w:val="0"/>
          <w:bCs/>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Style w:val="9"/>
          <w:rFonts w:hint="eastAsia" w:ascii="方正仿宋简体" w:hAnsi="方正仿宋简体" w:eastAsia="方正仿宋简体" w:cs="方正仿宋简体"/>
          <w:b w:val="0"/>
          <w:bCs/>
          <w:sz w:val="32"/>
          <w:szCs w:val="32"/>
        </w:rPr>
      </w:pPr>
      <w:r>
        <w:rPr>
          <w:rStyle w:val="9"/>
          <w:rFonts w:hint="eastAsia" w:ascii="方正小标宋_GBK" w:hAnsi="方正小标宋_GBK" w:eastAsia="方正小标宋_GBK" w:cs="方正小标宋_GBK"/>
          <w:b w:val="0"/>
          <w:bCs/>
          <w:sz w:val="32"/>
          <w:szCs w:val="32"/>
        </w:rPr>
        <w:t>第四章 对行政处罚裁量权行使的监督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eastAsia" w:ascii="方正仿宋简体" w:hAnsi="方正仿宋简体" w:eastAsia="方正仿宋简体" w:cs="方正仿宋简体"/>
          <w:b w:val="0"/>
          <w:bCs/>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bCs w:val="0"/>
          <w:sz w:val="32"/>
          <w:szCs w:val="32"/>
        </w:rPr>
        <w:t>第十八条</w:t>
      </w:r>
      <w:r>
        <w:rPr>
          <w:rStyle w:val="9"/>
          <w:rFonts w:hint="eastAsia" w:ascii="方正仿宋简体" w:hAnsi="方正仿宋简体" w:eastAsia="方正仿宋简体" w:cs="方正仿宋简体"/>
          <w:b w:val="0"/>
          <w:bCs/>
          <w:sz w:val="32"/>
          <w:szCs w:val="32"/>
          <w:lang w:val="en-US" w:eastAsia="zh-CN"/>
        </w:rPr>
        <w:t xml:space="preserve"> </w:t>
      </w:r>
      <w:r>
        <w:rPr>
          <w:rStyle w:val="9"/>
          <w:rFonts w:hint="eastAsia" w:ascii="方正仿宋简体" w:hAnsi="方正仿宋简体" w:eastAsia="方正仿宋简体" w:cs="方正仿宋简体"/>
          <w:b w:val="0"/>
          <w:bCs/>
          <w:sz w:val="32"/>
          <w:szCs w:val="32"/>
        </w:rPr>
        <w:t>各级医疗保障行政部门应当健全规范医疗保障基金监管行政处罚裁量权的监督制度，通过集体讨论、法制审核、结果公开等方式加强对行政处罚裁量权行使情况的监督。上级医疗保障行政部门要建立行政执法评议考核、行政处罚案卷评查等制度，加强对下级医疗保障行政部门行政处罚裁量权行使情况的监督检查，发现行政处罚裁量违法或不当的，应当及时纠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bCs w:val="0"/>
          <w:sz w:val="32"/>
          <w:szCs w:val="32"/>
        </w:rPr>
        <w:t>第十九条</w:t>
      </w:r>
      <w:r>
        <w:rPr>
          <w:rStyle w:val="9"/>
          <w:rFonts w:hint="eastAsia" w:ascii="方正仿宋简体" w:hAnsi="方正仿宋简体" w:eastAsia="方正仿宋简体" w:cs="方正仿宋简体"/>
          <w:b w:val="0"/>
          <w:bCs/>
          <w:sz w:val="32"/>
          <w:szCs w:val="32"/>
        </w:rPr>
        <w:t> 医疗保障行政部门行使行政处罚裁量权，不得有下列情形：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val="0"/>
          <w:bCs/>
          <w:sz w:val="32"/>
          <w:szCs w:val="32"/>
        </w:rPr>
        <w:t>(一)违法行为的事实、性质、情节以及社会危害程度与受到的行政处罚相比，畸轻或者畸重的；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val="0"/>
          <w:bCs/>
          <w:sz w:val="32"/>
          <w:szCs w:val="32"/>
        </w:rPr>
        <w:t>(二)在同一时期同类案件中，不同当事人的违法行为相同或者相近，所受行政处罚差别较大的；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val="0"/>
          <w:bCs/>
          <w:sz w:val="32"/>
          <w:szCs w:val="32"/>
        </w:rPr>
        <w:t>(三)依法应当不予行政处罚或者应当从轻、减轻行政处罚的，给予处罚或未从轻、减轻行政处罚的；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val="0"/>
          <w:bCs/>
          <w:sz w:val="32"/>
          <w:szCs w:val="32"/>
        </w:rPr>
        <w:t>(四)其他滥用行政处罚裁量权情形的。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bCs w:val="0"/>
          <w:sz w:val="32"/>
          <w:szCs w:val="32"/>
        </w:rPr>
        <w:t>第二十条</w:t>
      </w:r>
      <w:r>
        <w:rPr>
          <w:rStyle w:val="9"/>
          <w:rFonts w:hint="eastAsia" w:ascii="方正仿宋简体" w:hAnsi="方正仿宋简体" w:eastAsia="方正仿宋简体" w:cs="方正仿宋简体"/>
          <w:b w:val="0"/>
          <w:bCs/>
          <w:sz w:val="32"/>
          <w:szCs w:val="32"/>
          <w:lang w:val="en-US" w:eastAsia="zh-CN"/>
        </w:rPr>
        <w:t xml:space="preserve"> </w:t>
      </w:r>
      <w:r>
        <w:rPr>
          <w:rStyle w:val="9"/>
          <w:rFonts w:hint="eastAsia" w:ascii="方正仿宋简体" w:hAnsi="方正仿宋简体" w:eastAsia="方正仿宋简体" w:cs="方正仿宋简体"/>
          <w:b w:val="0"/>
          <w:bCs/>
          <w:sz w:val="32"/>
          <w:szCs w:val="32"/>
        </w:rPr>
        <w:t>因行使行政处罚裁量权不当，导致医疗保障行政处罚显失公正，构成执法过错的，应当限期改正并依照相关规定追究有关人员的过错责任。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eastAsia" w:ascii="方正仿宋简体" w:hAnsi="方正仿宋简体" w:eastAsia="方正仿宋简体" w:cs="方正仿宋简体"/>
          <w:b w:val="0"/>
          <w:bCs/>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Style w:val="9"/>
          <w:rFonts w:hint="eastAsia" w:ascii="方正小标宋_GBK" w:hAnsi="方正小标宋_GBK" w:eastAsia="方正小标宋_GBK" w:cs="方正小标宋_GBK"/>
          <w:b w:val="0"/>
          <w:bCs/>
          <w:sz w:val="32"/>
          <w:szCs w:val="32"/>
        </w:rPr>
      </w:pPr>
      <w:r>
        <w:rPr>
          <w:rStyle w:val="9"/>
          <w:rFonts w:hint="eastAsia" w:ascii="方正小标宋_GBK" w:hAnsi="方正小标宋_GBK" w:eastAsia="方正小标宋_GBK" w:cs="方正小标宋_GBK"/>
          <w:b w:val="0"/>
          <w:bCs/>
          <w:sz w:val="32"/>
          <w:szCs w:val="32"/>
        </w:rPr>
        <w:t>第五章 附</w:t>
      </w:r>
      <w:r>
        <w:rPr>
          <w:rStyle w:val="9"/>
          <w:rFonts w:hint="eastAsia" w:ascii="方正小标宋_GBK" w:hAnsi="方正小标宋_GBK" w:eastAsia="方正小标宋_GBK" w:cs="方正小标宋_GBK"/>
          <w:b w:val="0"/>
          <w:bCs/>
          <w:sz w:val="32"/>
          <w:szCs w:val="32"/>
          <w:lang w:val="en-US" w:eastAsia="zh-CN"/>
        </w:rPr>
        <w:t xml:space="preserve">  </w:t>
      </w:r>
      <w:r>
        <w:rPr>
          <w:rStyle w:val="9"/>
          <w:rFonts w:hint="eastAsia" w:ascii="方正小标宋_GBK" w:hAnsi="方正小标宋_GBK" w:eastAsia="方正小标宋_GBK" w:cs="方正小标宋_GBK"/>
          <w:b w:val="0"/>
          <w:bCs/>
          <w:sz w:val="32"/>
          <w:szCs w:val="32"/>
        </w:rPr>
        <w:t>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9"/>
          <w:rFonts w:hint="eastAsia" w:ascii="方正仿宋简体" w:hAnsi="方正仿宋简体" w:eastAsia="方正仿宋简体" w:cs="方正仿宋简体"/>
          <w:b/>
          <w:bCs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bCs w:val="0"/>
          <w:sz w:val="32"/>
          <w:szCs w:val="32"/>
        </w:rPr>
        <w:t>第二十一条</w:t>
      </w:r>
      <w:r>
        <w:rPr>
          <w:rStyle w:val="9"/>
          <w:rFonts w:hint="eastAsia" w:ascii="方正仿宋简体" w:hAnsi="方正仿宋简体" w:eastAsia="方正仿宋简体" w:cs="方正仿宋简体"/>
          <w:b w:val="0"/>
          <w:bCs/>
          <w:sz w:val="32"/>
          <w:szCs w:val="32"/>
          <w:lang w:val="en-US" w:eastAsia="zh-CN"/>
        </w:rPr>
        <w:t xml:space="preserve"> </w:t>
      </w:r>
      <w:r>
        <w:rPr>
          <w:rStyle w:val="9"/>
          <w:rFonts w:hint="eastAsia" w:ascii="方正仿宋简体" w:hAnsi="方正仿宋简体" w:eastAsia="方正仿宋简体" w:cs="方正仿宋简体"/>
          <w:b w:val="0"/>
          <w:bCs/>
          <w:sz w:val="32"/>
          <w:szCs w:val="32"/>
        </w:rPr>
        <w:t>本办法是全省医疗保障行政处罚裁量执行的指导性文件，法律、法规、规章或国家医疗保障局、湖南省人民政府对规范行政处罚裁量权另有规定的，适用其规定。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9"/>
          <w:rFonts w:hint="eastAsia" w:ascii="方正仿宋简体" w:hAnsi="方正仿宋简体" w:eastAsia="方正仿宋简体" w:cs="方正仿宋简体"/>
          <w:b w:val="0"/>
          <w:bCs/>
          <w:sz w:val="32"/>
          <w:szCs w:val="32"/>
        </w:rPr>
      </w:pPr>
      <w:r>
        <w:rPr>
          <w:rStyle w:val="9"/>
          <w:rFonts w:hint="eastAsia" w:ascii="方正仿宋简体" w:hAnsi="方正仿宋简体" w:eastAsia="方正仿宋简体" w:cs="方正仿宋简体"/>
          <w:b/>
          <w:bCs w:val="0"/>
          <w:sz w:val="32"/>
          <w:szCs w:val="32"/>
        </w:rPr>
        <w:t>第二十二条</w:t>
      </w:r>
      <w:r>
        <w:rPr>
          <w:rStyle w:val="9"/>
          <w:rFonts w:hint="eastAsia" w:ascii="方正仿宋简体" w:hAnsi="方正仿宋简体" w:eastAsia="方正仿宋简体" w:cs="方正仿宋简体"/>
          <w:b w:val="0"/>
          <w:bCs/>
          <w:sz w:val="32"/>
          <w:szCs w:val="32"/>
          <w:lang w:val="en-US" w:eastAsia="zh-CN"/>
        </w:rPr>
        <w:t xml:space="preserve"> </w:t>
      </w:r>
      <w:r>
        <w:rPr>
          <w:rStyle w:val="9"/>
          <w:rFonts w:hint="eastAsia" w:ascii="方正仿宋简体" w:hAnsi="方正仿宋简体" w:eastAsia="方正仿宋简体" w:cs="方正仿宋简体"/>
          <w:b w:val="0"/>
          <w:bCs/>
          <w:sz w:val="32"/>
          <w:szCs w:val="32"/>
        </w:rPr>
        <w:t>湖南省医疗保障局依据本办法制定《湖南省医疗保障基金使用监督管理行政处罚裁量基准》(以下简称《裁量基准》)。《裁量基准》对有关违法行为未作规定或规定不明确的，应当参照本办法的相关要求，结合案件实际，综合考量作出行政处罚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9"/>
          <w:rFonts w:hint="eastAsia" w:ascii="方正仿宋简体" w:hAnsi="方正仿宋简体" w:eastAsia="方正仿宋简体" w:cs="方正仿宋简体"/>
          <w:b w:val="0"/>
          <w:bCs/>
          <w:sz w:val="32"/>
          <w:szCs w:val="32"/>
        </w:rPr>
        <w:sectPr>
          <w:footerReference r:id="rId3" w:type="default"/>
          <w:pgSz w:w="11906" w:h="16838"/>
          <w:pgMar w:top="2098" w:right="1474" w:bottom="1701" w:left="1587" w:header="851" w:footer="992" w:gutter="0"/>
          <w:pgNumType w:fmt="numberInDash"/>
          <w:cols w:space="425" w:num="1"/>
          <w:docGrid w:type="lines" w:linePitch="312" w:charSpace="0"/>
        </w:sectPr>
      </w:pPr>
      <w:r>
        <w:rPr>
          <w:rStyle w:val="9"/>
          <w:rFonts w:hint="eastAsia" w:ascii="方正仿宋简体" w:hAnsi="方正仿宋简体" w:eastAsia="方正仿宋简体" w:cs="方正仿宋简体"/>
          <w:b/>
          <w:bCs w:val="0"/>
          <w:sz w:val="32"/>
          <w:szCs w:val="32"/>
        </w:rPr>
        <w:t>第二十三条</w:t>
      </w:r>
      <w:r>
        <w:rPr>
          <w:rStyle w:val="9"/>
          <w:rFonts w:hint="eastAsia" w:ascii="方正仿宋简体" w:hAnsi="方正仿宋简体" w:eastAsia="方正仿宋简体" w:cs="方正仿宋简体"/>
          <w:b w:val="0"/>
          <w:bCs/>
          <w:sz w:val="32"/>
          <w:szCs w:val="32"/>
          <w:lang w:val="en-US" w:eastAsia="zh-CN"/>
        </w:rPr>
        <w:t xml:space="preserve"> </w:t>
      </w:r>
      <w:r>
        <w:rPr>
          <w:rStyle w:val="9"/>
          <w:rFonts w:hint="eastAsia" w:ascii="方正仿宋简体" w:hAnsi="方正仿宋简体" w:eastAsia="方正仿宋简体" w:cs="方正仿宋简体"/>
          <w:b w:val="0"/>
          <w:bCs/>
          <w:sz w:val="32"/>
          <w:szCs w:val="32"/>
        </w:rPr>
        <w:t>本办法自2022年2月1日施行，有效期五年。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b/>
          <w:bCs/>
          <w:i w:val="0"/>
          <w:iCs w:val="0"/>
          <w:caps w:val="0"/>
          <w:color w:val="333333"/>
          <w:spacing w:val="0"/>
          <w:sz w:val="44"/>
          <w:szCs w:val="44"/>
          <w:shd w:val="clear" w:fill="FFFFFF"/>
        </w:rPr>
        <w:t>湖南省医疗保障基金使用监督管理行政处罚裁量基准</w:t>
      </w:r>
    </w:p>
    <w:tbl>
      <w:tblPr>
        <w:tblStyle w:val="7"/>
        <w:tblW w:w="13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2940"/>
        <w:gridCol w:w="1176"/>
        <w:gridCol w:w="1761"/>
        <w:gridCol w:w="1204"/>
        <w:gridCol w:w="2940"/>
        <w:gridCol w:w="3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28" w:type="dxa"/>
            <w:vAlign w:val="center"/>
          </w:tcPr>
          <w:p>
            <w:pPr>
              <w:jc w:val="center"/>
              <w:rPr>
                <w:rFonts w:hint="eastAsia" w:eastAsiaTheme="minorEastAsia"/>
                <w:b/>
                <w:bCs/>
                <w:vertAlign w:val="baseline"/>
                <w:lang w:eastAsia="zh-CN"/>
              </w:rPr>
            </w:pPr>
            <w:r>
              <w:rPr>
                <w:rFonts w:hint="eastAsia"/>
                <w:b/>
                <w:bCs/>
                <w:vertAlign w:val="baseline"/>
                <w:lang w:eastAsia="zh-CN"/>
              </w:rPr>
              <w:t>序号</w:t>
            </w:r>
          </w:p>
        </w:tc>
        <w:tc>
          <w:tcPr>
            <w:tcW w:w="2940" w:type="dxa"/>
            <w:vAlign w:val="center"/>
          </w:tcPr>
          <w:p>
            <w:pPr>
              <w:jc w:val="center"/>
              <w:rPr>
                <w:rFonts w:hint="eastAsia" w:eastAsiaTheme="minorEastAsia"/>
                <w:b/>
                <w:bCs/>
                <w:vertAlign w:val="baseline"/>
                <w:lang w:eastAsia="zh-CN"/>
              </w:rPr>
            </w:pPr>
            <w:r>
              <w:rPr>
                <w:rFonts w:hint="eastAsia"/>
                <w:b/>
                <w:bCs/>
                <w:vertAlign w:val="baseline"/>
                <w:lang w:eastAsia="zh-CN"/>
              </w:rPr>
              <w:t>违法行为</w:t>
            </w:r>
          </w:p>
        </w:tc>
        <w:tc>
          <w:tcPr>
            <w:tcW w:w="1176" w:type="dxa"/>
            <w:vAlign w:val="center"/>
          </w:tcPr>
          <w:p>
            <w:pPr>
              <w:jc w:val="center"/>
              <w:rPr>
                <w:b/>
                <w:bCs/>
                <w:vertAlign w:val="baseline"/>
              </w:rPr>
            </w:pPr>
            <w:r>
              <w:rPr>
                <w:rFonts w:hint="eastAsia"/>
                <w:b/>
                <w:bCs/>
                <w:vertAlign w:val="baseline"/>
              </w:rPr>
              <w:t>法定依据</w:t>
            </w:r>
          </w:p>
        </w:tc>
        <w:tc>
          <w:tcPr>
            <w:tcW w:w="1761" w:type="dxa"/>
            <w:vAlign w:val="center"/>
          </w:tcPr>
          <w:p>
            <w:pPr>
              <w:jc w:val="center"/>
              <w:rPr>
                <w:b/>
                <w:bCs/>
                <w:vertAlign w:val="baseline"/>
              </w:rPr>
            </w:pPr>
            <w:r>
              <w:rPr>
                <w:rFonts w:hint="eastAsia"/>
                <w:b/>
                <w:bCs/>
                <w:vertAlign w:val="baseline"/>
              </w:rPr>
              <w:t>法定处罚标准</w:t>
            </w:r>
          </w:p>
        </w:tc>
        <w:tc>
          <w:tcPr>
            <w:tcW w:w="1204" w:type="dxa"/>
            <w:vAlign w:val="center"/>
          </w:tcPr>
          <w:p>
            <w:pPr>
              <w:jc w:val="center"/>
              <w:rPr>
                <w:b/>
                <w:bCs/>
                <w:vertAlign w:val="baseline"/>
              </w:rPr>
            </w:pPr>
            <w:r>
              <w:rPr>
                <w:rFonts w:hint="eastAsia"/>
                <w:b/>
                <w:bCs/>
                <w:vertAlign w:val="baseline"/>
              </w:rPr>
              <w:t>裁量阶次</w:t>
            </w:r>
          </w:p>
        </w:tc>
        <w:tc>
          <w:tcPr>
            <w:tcW w:w="2940" w:type="dxa"/>
            <w:vAlign w:val="center"/>
          </w:tcPr>
          <w:p>
            <w:pPr>
              <w:jc w:val="center"/>
              <w:rPr>
                <w:rFonts w:hint="eastAsia" w:eastAsiaTheme="minorEastAsia"/>
                <w:b/>
                <w:bCs/>
                <w:vertAlign w:val="baseline"/>
                <w:lang w:eastAsia="zh-CN"/>
              </w:rPr>
            </w:pPr>
            <w:r>
              <w:rPr>
                <w:rFonts w:hint="eastAsia"/>
                <w:b/>
                <w:bCs/>
                <w:vertAlign w:val="baseline"/>
                <w:lang w:eastAsia="zh-CN"/>
              </w:rPr>
              <w:t>先用情形</w:t>
            </w:r>
          </w:p>
        </w:tc>
        <w:tc>
          <w:tcPr>
            <w:tcW w:w="3026" w:type="dxa"/>
            <w:vAlign w:val="center"/>
          </w:tcPr>
          <w:p>
            <w:pPr>
              <w:jc w:val="center"/>
              <w:rPr>
                <w:rFonts w:hint="eastAsia" w:eastAsiaTheme="minorEastAsia"/>
                <w:b/>
                <w:bCs/>
                <w:vertAlign w:val="baseline"/>
                <w:lang w:eastAsia="zh-CN"/>
              </w:rPr>
            </w:pPr>
            <w:r>
              <w:rPr>
                <w:rFonts w:hint="eastAsia"/>
                <w:b/>
                <w:bCs/>
                <w:vertAlign w:val="baseline"/>
                <w:lang w:eastAsia="zh-CN"/>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0" w:hRule="atLeast"/>
        </w:trPr>
        <w:tc>
          <w:tcPr>
            <w:tcW w:w="628" w:type="dxa"/>
            <w:vMerge w:val="restart"/>
            <w:vAlign w:val="center"/>
          </w:tcPr>
          <w:p>
            <w:pPr>
              <w:jc w:val="center"/>
              <w:rPr>
                <w:rFonts w:hint="eastAsia" w:eastAsiaTheme="minorEastAsia"/>
                <w:vertAlign w:val="baseline"/>
                <w:lang w:val="en-US" w:eastAsia="zh-CN"/>
              </w:rPr>
            </w:pPr>
            <w:r>
              <w:rPr>
                <w:rFonts w:hint="eastAsia"/>
                <w:vertAlign w:val="baseline"/>
                <w:lang w:val="en-US" w:eastAsia="zh-CN"/>
              </w:rPr>
              <w:t>1</w:t>
            </w:r>
          </w:p>
        </w:tc>
        <w:tc>
          <w:tcPr>
            <w:tcW w:w="2940"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vertAlign w:val="baseline"/>
              </w:rPr>
            </w:pPr>
            <w:r>
              <w:rPr>
                <w:rFonts w:hint="eastAsia"/>
                <w:vertAlign w:val="baseline"/>
              </w:rPr>
              <w:t>医疗保障经办机构通过伪造、变造、隐匿、涂改、销毁医学文书、医学证明、会计凭证、电子信息等有关资料或者虚构医药服务项目等方式，骗取医疗保障基金支出。</w:t>
            </w:r>
          </w:p>
        </w:tc>
        <w:tc>
          <w:tcPr>
            <w:tcW w:w="1176"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vertAlign w:val="baseline"/>
              </w:rPr>
            </w:pPr>
            <w:r>
              <w:rPr>
                <w:rFonts w:hint="eastAsia"/>
                <w:vertAlign w:val="baseline"/>
              </w:rPr>
              <w:t>《社会保险法》八十七条，《医疗保障基金使用监督管理条例》第三十七条</w:t>
            </w:r>
          </w:p>
        </w:tc>
        <w:tc>
          <w:tcPr>
            <w:tcW w:w="1761"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vertAlign w:val="baseline"/>
              </w:rPr>
            </w:pPr>
            <w:r>
              <w:rPr>
                <w:rFonts w:hint="eastAsia"/>
                <w:vertAlign w:val="baseline"/>
              </w:rPr>
              <w:t>责令退回，处骗取金额2倍以上5倍以下的罚款，对直接负责的主管人员和其他直接责任人员依法给予处分。</w:t>
            </w:r>
          </w:p>
        </w:tc>
        <w:tc>
          <w:tcPr>
            <w:tcW w:w="120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rightChars="0"/>
              <w:jc w:val="center"/>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从轻处罚</w:t>
            </w:r>
          </w:p>
        </w:tc>
        <w:tc>
          <w:tcPr>
            <w:tcW w:w="294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jc w:val="both"/>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初次违法骗取医疗保障基金支出在5000元以下，但未及时改正的；再次违法且骗取医疗保障基金支出，涉案基金金额在5000元以下的。</w:t>
            </w:r>
          </w:p>
        </w:tc>
        <w:tc>
          <w:tcPr>
            <w:tcW w:w="3026"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rightChars="0" w:firstLine="420" w:firstLineChars="200"/>
              <w:jc w:val="both"/>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责令退回骗取基金，处骗取金额2倍的罚款。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628" w:type="dxa"/>
            <w:vMerge w:val="continue"/>
            <w:vAlign w:val="center"/>
          </w:tcPr>
          <w:p>
            <w:pPr>
              <w:jc w:val="both"/>
              <w:rPr>
                <w:vertAlign w:val="baseline"/>
              </w:rPr>
            </w:pPr>
          </w:p>
        </w:tc>
        <w:tc>
          <w:tcPr>
            <w:tcW w:w="294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vertAlign w:val="baseline"/>
              </w:rPr>
            </w:pPr>
          </w:p>
        </w:tc>
        <w:tc>
          <w:tcPr>
            <w:tcW w:w="117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vertAlign w:val="baseline"/>
              </w:rPr>
            </w:pPr>
          </w:p>
        </w:tc>
        <w:tc>
          <w:tcPr>
            <w:tcW w:w="1761"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vertAlign w:val="baseline"/>
              </w:rPr>
            </w:pPr>
          </w:p>
        </w:tc>
        <w:tc>
          <w:tcPr>
            <w:tcW w:w="120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rightChars="0"/>
              <w:jc w:val="center"/>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一般处罚</w:t>
            </w:r>
          </w:p>
        </w:tc>
        <w:tc>
          <w:tcPr>
            <w:tcW w:w="294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jc w:val="both"/>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骗取医疗保障基金支出，涉案基金金额在5000元以上5万元以下的。</w:t>
            </w:r>
          </w:p>
        </w:tc>
        <w:tc>
          <w:tcPr>
            <w:tcW w:w="3026"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rightChars="0" w:firstLine="420" w:firstLineChars="200"/>
              <w:jc w:val="both"/>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责令退回骗取基金，处骗取金额3倍的罚款。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628" w:type="dxa"/>
            <w:vMerge w:val="continue"/>
            <w:vAlign w:val="center"/>
          </w:tcPr>
          <w:p>
            <w:pPr>
              <w:jc w:val="both"/>
              <w:rPr>
                <w:vertAlign w:val="baseline"/>
              </w:rPr>
            </w:pPr>
          </w:p>
        </w:tc>
        <w:tc>
          <w:tcPr>
            <w:tcW w:w="294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vertAlign w:val="baseline"/>
              </w:rPr>
            </w:pPr>
          </w:p>
        </w:tc>
        <w:tc>
          <w:tcPr>
            <w:tcW w:w="117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vertAlign w:val="baseline"/>
              </w:rPr>
            </w:pPr>
          </w:p>
        </w:tc>
        <w:tc>
          <w:tcPr>
            <w:tcW w:w="1761"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vertAlign w:val="baseline"/>
              </w:rPr>
            </w:pPr>
          </w:p>
        </w:tc>
        <w:tc>
          <w:tcPr>
            <w:tcW w:w="120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微软雅黑" w:hAnsi="微软雅黑" w:eastAsia="微软雅黑" w:cs="微软雅黑"/>
                <w:i w:val="0"/>
                <w:iCs w:val="0"/>
                <w:caps w:val="0"/>
                <w:color w:val="333333"/>
                <w:spacing w:val="0"/>
                <w:kern w:val="0"/>
                <w:sz w:val="21"/>
                <w:szCs w:val="21"/>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jc w:val="center"/>
              <w:textAlignment w:val="auto"/>
              <w:rPr>
                <w:color w:val="333333"/>
                <w:sz w:val="24"/>
                <w:szCs w:val="24"/>
              </w:rPr>
            </w:pPr>
            <w:r>
              <w:rPr>
                <w:rFonts w:hint="eastAsia" w:ascii="微软雅黑" w:hAnsi="微软雅黑" w:eastAsia="微软雅黑" w:cs="微软雅黑"/>
                <w:i w:val="0"/>
                <w:iCs w:val="0"/>
                <w:caps w:val="0"/>
                <w:color w:val="333333"/>
                <w:spacing w:val="0"/>
                <w:kern w:val="0"/>
                <w:sz w:val="21"/>
                <w:szCs w:val="21"/>
                <w:lang w:val="en-US" w:eastAsia="zh-CN" w:bidi="ar"/>
              </w:rPr>
              <w:t>较重处罚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jc w:val="center"/>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 </w:t>
            </w:r>
          </w:p>
        </w:tc>
        <w:tc>
          <w:tcPr>
            <w:tcW w:w="294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jc w:val="both"/>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骗取医疗保障基金支出，涉案基金金额在5万元以上50万元以下的。</w:t>
            </w:r>
          </w:p>
        </w:tc>
        <w:tc>
          <w:tcPr>
            <w:tcW w:w="3026"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rightChars="0" w:firstLine="420" w:firstLineChars="200"/>
              <w:jc w:val="both"/>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责令退回骗取基金，处骗取金额4倍的罚款。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trPr>
        <w:tc>
          <w:tcPr>
            <w:tcW w:w="628" w:type="dxa"/>
            <w:vMerge w:val="continue"/>
            <w:vAlign w:val="center"/>
          </w:tcPr>
          <w:p>
            <w:pPr>
              <w:jc w:val="both"/>
              <w:rPr>
                <w:vertAlign w:val="baseline"/>
              </w:rPr>
            </w:pPr>
          </w:p>
        </w:tc>
        <w:tc>
          <w:tcPr>
            <w:tcW w:w="294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vertAlign w:val="baseline"/>
              </w:rPr>
            </w:pPr>
          </w:p>
        </w:tc>
        <w:tc>
          <w:tcPr>
            <w:tcW w:w="117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vertAlign w:val="baseline"/>
              </w:rPr>
            </w:pPr>
          </w:p>
        </w:tc>
        <w:tc>
          <w:tcPr>
            <w:tcW w:w="1761"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vertAlign w:val="baseline"/>
              </w:rPr>
            </w:pPr>
          </w:p>
        </w:tc>
        <w:tc>
          <w:tcPr>
            <w:tcW w:w="120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rightChars="0"/>
              <w:jc w:val="center"/>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从重处罚</w:t>
            </w:r>
          </w:p>
        </w:tc>
        <w:tc>
          <w:tcPr>
            <w:tcW w:w="294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jc w:val="both"/>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骗取医疗保障基金支出，涉案基金金额在50万元以上的。</w:t>
            </w:r>
          </w:p>
        </w:tc>
        <w:tc>
          <w:tcPr>
            <w:tcW w:w="3026"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rightChars="0" w:firstLine="420" w:firstLineChars="200"/>
              <w:jc w:val="both"/>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责令退回骗取基金，处骗取金额5倍罚款。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628" w:type="dxa"/>
            <w:vAlign w:val="center"/>
          </w:tcPr>
          <w:p>
            <w:pPr>
              <w:jc w:val="center"/>
              <w:rPr>
                <w:rFonts w:hint="eastAsia" w:asciiTheme="minorHAnsi" w:hAnsiTheme="minorHAnsi" w:eastAsiaTheme="minorEastAsia" w:cstheme="minorBidi"/>
                <w:b/>
                <w:bCs/>
                <w:kern w:val="2"/>
                <w:sz w:val="21"/>
                <w:szCs w:val="24"/>
                <w:vertAlign w:val="baseline"/>
                <w:lang w:val="en-US" w:eastAsia="zh-CN" w:bidi="ar-SA"/>
              </w:rPr>
            </w:pPr>
            <w:r>
              <w:rPr>
                <w:rFonts w:hint="eastAsia"/>
                <w:b/>
                <w:bCs/>
                <w:vertAlign w:val="baseline"/>
                <w:lang w:eastAsia="zh-CN"/>
              </w:rPr>
              <w:t>序号</w:t>
            </w:r>
          </w:p>
        </w:tc>
        <w:tc>
          <w:tcPr>
            <w:tcW w:w="2940" w:type="dxa"/>
            <w:vAlign w:val="center"/>
          </w:tcPr>
          <w:p>
            <w:pPr>
              <w:jc w:val="center"/>
              <w:rPr>
                <w:rFonts w:hint="eastAsia" w:asciiTheme="minorHAnsi" w:hAnsiTheme="minorHAnsi" w:eastAsiaTheme="minorEastAsia" w:cstheme="minorBidi"/>
                <w:b/>
                <w:bCs/>
                <w:kern w:val="2"/>
                <w:sz w:val="21"/>
                <w:szCs w:val="24"/>
                <w:vertAlign w:val="baseline"/>
                <w:lang w:val="en-US" w:eastAsia="zh-CN" w:bidi="ar-SA"/>
              </w:rPr>
            </w:pPr>
            <w:r>
              <w:rPr>
                <w:rFonts w:hint="eastAsia"/>
                <w:b/>
                <w:bCs/>
                <w:vertAlign w:val="baseline"/>
                <w:lang w:eastAsia="zh-CN"/>
              </w:rPr>
              <w:t>违法行为</w:t>
            </w:r>
          </w:p>
        </w:tc>
        <w:tc>
          <w:tcPr>
            <w:tcW w:w="1176" w:type="dxa"/>
            <w:vAlign w:val="center"/>
          </w:tcPr>
          <w:p>
            <w:pPr>
              <w:jc w:val="center"/>
              <w:rPr>
                <w:rFonts w:asciiTheme="minorHAnsi" w:hAnsiTheme="minorHAnsi" w:eastAsiaTheme="minorEastAsia" w:cstheme="minorBidi"/>
                <w:b/>
                <w:bCs/>
                <w:kern w:val="2"/>
                <w:sz w:val="21"/>
                <w:szCs w:val="24"/>
                <w:vertAlign w:val="baseline"/>
                <w:lang w:val="en-US" w:eastAsia="zh-CN" w:bidi="ar-SA"/>
              </w:rPr>
            </w:pPr>
            <w:r>
              <w:rPr>
                <w:rFonts w:hint="eastAsia"/>
                <w:b/>
                <w:bCs/>
                <w:vertAlign w:val="baseline"/>
              </w:rPr>
              <w:t>法定依据</w:t>
            </w:r>
          </w:p>
        </w:tc>
        <w:tc>
          <w:tcPr>
            <w:tcW w:w="1761" w:type="dxa"/>
            <w:vAlign w:val="center"/>
          </w:tcPr>
          <w:p>
            <w:pPr>
              <w:jc w:val="center"/>
              <w:rPr>
                <w:rFonts w:asciiTheme="minorHAnsi" w:hAnsiTheme="minorHAnsi" w:eastAsiaTheme="minorEastAsia" w:cstheme="minorBidi"/>
                <w:b/>
                <w:bCs/>
                <w:kern w:val="2"/>
                <w:sz w:val="21"/>
                <w:szCs w:val="24"/>
                <w:vertAlign w:val="baseline"/>
                <w:lang w:val="en-US" w:eastAsia="zh-CN" w:bidi="ar-SA"/>
              </w:rPr>
            </w:pPr>
            <w:r>
              <w:rPr>
                <w:rFonts w:hint="eastAsia"/>
                <w:b/>
                <w:bCs/>
                <w:vertAlign w:val="baseline"/>
              </w:rPr>
              <w:t>法定处罚标准</w:t>
            </w:r>
          </w:p>
        </w:tc>
        <w:tc>
          <w:tcPr>
            <w:tcW w:w="1204" w:type="dxa"/>
            <w:vAlign w:val="center"/>
          </w:tcPr>
          <w:p>
            <w:pPr>
              <w:jc w:val="center"/>
              <w:rPr>
                <w:rFonts w:asciiTheme="minorHAnsi" w:hAnsiTheme="minorHAnsi" w:eastAsiaTheme="minorEastAsia" w:cstheme="minorBidi"/>
                <w:b/>
                <w:bCs/>
                <w:kern w:val="2"/>
                <w:sz w:val="21"/>
                <w:szCs w:val="24"/>
                <w:vertAlign w:val="baseline"/>
                <w:lang w:val="en-US" w:eastAsia="zh-CN" w:bidi="ar-SA"/>
              </w:rPr>
            </w:pPr>
            <w:r>
              <w:rPr>
                <w:rFonts w:hint="eastAsia"/>
                <w:b/>
                <w:bCs/>
                <w:vertAlign w:val="baseline"/>
              </w:rPr>
              <w:t>裁量阶次</w:t>
            </w:r>
          </w:p>
        </w:tc>
        <w:tc>
          <w:tcPr>
            <w:tcW w:w="2940" w:type="dxa"/>
            <w:vAlign w:val="center"/>
          </w:tcPr>
          <w:p>
            <w:pPr>
              <w:jc w:val="center"/>
              <w:rPr>
                <w:rFonts w:hint="eastAsia" w:asciiTheme="minorHAnsi" w:hAnsiTheme="minorHAnsi" w:eastAsiaTheme="minorEastAsia" w:cstheme="minorBidi"/>
                <w:b/>
                <w:bCs/>
                <w:kern w:val="2"/>
                <w:sz w:val="21"/>
                <w:szCs w:val="24"/>
                <w:vertAlign w:val="baseline"/>
                <w:lang w:val="en-US" w:eastAsia="zh-CN" w:bidi="ar-SA"/>
              </w:rPr>
            </w:pPr>
            <w:r>
              <w:rPr>
                <w:rFonts w:hint="eastAsia"/>
                <w:b/>
                <w:bCs/>
                <w:vertAlign w:val="baseline"/>
                <w:lang w:eastAsia="zh-CN"/>
              </w:rPr>
              <w:t>先用情形</w:t>
            </w:r>
          </w:p>
        </w:tc>
        <w:tc>
          <w:tcPr>
            <w:tcW w:w="3026" w:type="dxa"/>
            <w:vAlign w:val="center"/>
          </w:tcPr>
          <w:p>
            <w:pPr>
              <w:jc w:val="center"/>
              <w:rPr>
                <w:rFonts w:hint="eastAsia" w:asciiTheme="minorHAnsi" w:hAnsiTheme="minorHAnsi" w:eastAsiaTheme="minorEastAsia" w:cstheme="minorBidi"/>
                <w:b/>
                <w:bCs/>
                <w:kern w:val="2"/>
                <w:sz w:val="21"/>
                <w:szCs w:val="24"/>
                <w:vertAlign w:val="baseline"/>
                <w:lang w:val="en-US" w:eastAsia="zh-CN" w:bidi="ar-SA"/>
              </w:rPr>
            </w:pPr>
            <w:r>
              <w:rPr>
                <w:rFonts w:hint="eastAsia"/>
                <w:b/>
                <w:bCs/>
                <w:vertAlign w:val="baseline"/>
                <w:lang w:eastAsia="zh-CN"/>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atLeast"/>
        </w:trPr>
        <w:tc>
          <w:tcPr>
            <w:tcW w:w="628"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rightChars="0"/>
              <w:jc w:val="center"/>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2</w:t>
            </w:r>
          </w:p>
          <w:p>
            <w:pPr>
              <w:keepNext w:val="0"/>
              <w:keepLines w:val="0"/>
              <w:pageBreakBefore w:val="0"/>
              <w:kinsoku/>
              <w:wordWrap/>
              <w:overflowPunct/>
              <w:topLinePunct w:val="0"/>
              <w:autoSpaceDE/>
              <w:autoSpaceDN/>
              <w:bidi w:val="0"/>
              <w:adjustRightInd/>
              <w:snapToGrid/>
              <w:spacing w:line="320" w:lineRule="exact"/>
              <w:jc w:val="both"/>
              <w:textAlignment w:val="auto"/>
              <w:rPr>
                <w:vertAlign w:val="baseline"/>
              </w:rPr>
            </w:pPr>
          </w:p>
        </w:tc>
        <w:tc>
          <w:tcPr>
            <w:tcW w:w="2940" w:type="dxa"/>
            <w:vMerge w:val="restart"/>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textAlignment w:val="auto"/>
              <w:rPr>
                <w:rFonts w:asciiTheme="minorHAnsi" w:hAnsiTheme="minorHAnsi" w:eastAsiaTheme="minorEastAsia" w:cstheme="minorBidi"/>
                <w:color w:val="333333"/>
                <w:kern w:val="0"/>
                <w:sz w:val="24"/>
                <w:szCs w:val="24"/>
                <w:lang w:val="en-US" w:eastAsia="zh-CN" w:bidi="ar"/>
              </w:rPr>
            </w:pPr>
            <w:r>
              <w:rPr>
                <w:rFonts w:hint="eastAsia" w:ascii="微软雅黑" w:hAnsi="微软雅黑" w:eastAsia="微软雅黑" w:cs="微软雅黑"/>
                <w:i w:val="0"/>
                <w:iCs w:val="0"/>
                <w:caps w:val="0"/>
                <w:color w:val="333333"/>
                <w:spacing w:val="0"/>
                <w:sz w:val="21"/>
                <w:szCs w:val="21"/>
              </w:rPr>
              <w:t>定点医药机构存在下列行为：分解住院、挂床住院；违反诊疗规范过度诊疗、过度检查、分解处方、超量开药、重复开药或者提供其他不必要的医药服务；重复收费、超标准收费、分解项目收费；串换药品、医用耗材、诊疗项目和服务设施；为参保人员利用其享受医疗保障待遇的机会转卖药品，接受返还现金、实物或者获得其他非法利益提供便利；将不属于医疗保障基金支付范围的医药费用纳入医疗保障基金结算；造成医疗保障基金损失的其他违法行为。</w:t>
            </w:r>
          </w:p>
          <w:p>
            <w:pPr>
              <w:keepNext w:val="0"/>
              <w:keepLines w:val="0"/>
              <w:pageBreakBefore w:val="0"/>
              <w:kinsoku/>
              <w:wordWrap/>
              <w:overflowPunct/>
              <w:topLinePunct w:val="0"/>
              <w:autoSpaceDE/>
              <w:autoSpaceDN/>
              <w:bidi w:val="0"/>
              <w:adjustRightInd/>
              <w:snapToGrid/>
              <w:spacing w:line="360" w:lineRule="exact"/>
              <w:jc w:val="both"/>
              <w:textAlignment w:val="auto"/>
              <w:rPr>
                <w:vertAlign w:val="baseline"/>
              </w:rPr>
            </w:pPr>
          </w:p>
        </w:tc>
        <w:tc>
          <w:tcPr>
            <w:tcW w:w="1176"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rightChars="0"/>
              <w:jc w:val="left"/>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b w:val="0"/>
                <w:bCs w:val="0"/>
                <w:i w:val="0"/>
                <w:iCs w:val="0"/>
                <w:caps w:val="0"/>
                <w:color w:val="333333"/>
                <w:spacing w:val="0"/>
                <w:kern w:val="0"/>
                <w:sz w:val="21"/>
                <w:szCs w:val="21"/>
                <w:lang w:val="en-US" w:eastAsia="zh-CN" w:bidi="ar"/>
              </w:rPr>
              <w:t>《医疗保障基金使用监督管理条例》第三十八条</w:t>
            </w:r>
          </w:p>
          <w:p>
            <w:pPr>
              <w:keepNext w:val="0"/>
              <w:keepLines w:val="0"/>
              <w:pageBreakBefore w:val="0"/>
              <w:kinsoku/>
              <w:wordWrap/>
              <w:overflowPunct/>
              <w:topLinePunct w:val="0"/>
              <w:autoSpaceDE/>
              <w:autoSpaceDN/>
              <w:bidi w:val="0"/>
              <w:adjustRightInd/>
              <w:snapToGrid/>
              <w:spacing w:line="360" w:lineRule="exact"/>
              <w:jc w:val="both"/>
              <w:textAlignment w:val="auto"/>
              <w:rPr>
                <w:vertAlign w:val="baseline"/>
              </w:rPr>
            </w:pPr>
          </w:p>
        </w:tc>
        <w:tc>
          <w:tcPr>
            <w:tcW w:w="1761"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jc w:val="left"/>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责令改正，并可以约谈有关负责人；造成医疗保障基金损失的，责令退回，处造成损失金额1倍以上2倍以下的罚款，拒不改正或者造成严重后果的，责令定点医药机构暂停相关责任部门6个月以上1年以下涉及医疗保障基金使用的医药服务。</w:t>
            </w:r>
          </w:p>
          <w:p>
            <w:pPr>
              <w:keepNext w:val="0"/>
              <w:keepLines w:val="0"/>
              <w:pageBreakBefore w:val="0"/>
              <w:kinsoku/>
              <w:wordWrap/>
              <w:overflowPunct/>
              <w:topLinePunct w:val="0"/>
              <w:autoSpaceDE/>
              <w:autoSpaceDN/>
              <w:bidi w:val="0"/>
              <w:adjustRightInd/>
              <w:snapToGrid/>
              <w:spacing w:line="360" w:lineRule="exact"/>
              <w:jc w:val="both"/>
              <w:textAlignment w:val="auto"/>
              <w:rPr>
                <w:vertAlign w:val="baseline"/>
              </w:rPr>
            </w:pPr>
          </w:p>
        </w:tc>
        <w:tc>
          <w:tcPr>
            <w:tcW w:w="120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rightChars="0"/>
              <w:jc w:val="center"/>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轻微D档</w:t>
            </w:r>
          </w:p>
        </w:tc>
        <w:tc>
          <w:tcPr>
            <w:tcW w:w="294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jc w:val="left"/>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初次违法造成医疗保障基金损失在5000元以下，但未及时改正的；再次违法且造成医疗保障基金损失在5000元以下的。</w:t>
            </w:r>
          </w:p>
        </w:tc>
        <w:tc>
          <w:tcPr>
            <w:tcW w:w="3026"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jc w:val="left"/>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责令退回损失基金，处损失基金金额1倍的罚款，拒不改正的责令定点医药机构暂停相关责任部门6个月涉及医疗保障基金使用的医药服务。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trPr>
        <w:tc>
          <w:tcPr>
            <w:tcW w:w="628"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vertAlign w:val="baseline"/>
              </w:rPr>
            </w:pPr>
          </w:p>
        </w:tc>
        <w:tc>
          <w:tcPr>
            <w:tcW w:w="294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vertAlign w:val="baseline"/>
              </w:rPr>
            </w:pPr>
          </w:p>
        </w:tc>
        <w:tc>
          <w:tcPr>
            <w:tcW w:w="117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vertAlign w:val="baseline"/>
              </w:rPr>
            </w:pPr>
          </w:p>
        </w:tc>
        <w:tc>
          <w:tcPr>
            <w:tcW w:w="1761"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vertAlign w:val="baseline"/>
              </w:rPr>
            </w:pPr>
          </w:p>
        </w:tc>
        <w:tc>
          <w:tcPr>
            <w:tcW w:w="120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rightChars="0"/>
              <w:jc w:val="center"/>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一般C档</w:t>
            </w:r>
          </w:p>
        </w:tc>
        <w:tc>
          <w:tcPr>
            <w:tcW w:w="294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jc w:val="left"/>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造成医疗保障基金损失在5000元以上5万元以下的。</w:t>
            </w:r>
          </w:p>
        </w:tc>
        <w:tc>
          <w:tcPr>
            <w:tcW w:w="3026"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jc w:val="left"/>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责令退回损失基金，处损失基金金额1倍的罚款，拒不改正的责令定点医药机构暂停相关责任部门8个月涉及医疗保障基金使用的医药服务。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trPr>
        <w:tc>
          <w:tcPr>
            <w:tcW w:w="628"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vertAlign w:val="baseline"/>
              </w:rPr>
            </w:pPr>
          </w:p>
        </w:tc>
        <w:tc>
          <w:tcPr>
            <w:tcW w:w="294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vertAlign w:val="baseline"/>
              </w:rPr>
            </w:pPr>
          </w:p>
        </w:tc>
        <w:tc>
          <w:tcPr>
            <w:tcW w:w="117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vertAlign w:val="baseline"/>
              </w:rPr>
            </w:pPr>
          </w:p>
        </w:tc>
        <w:tc>
          <w:tcPr>
            <w:tcW w:w="1761"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vertAlign w:val="baseline"/>
              </w:rPr>
            </w:pPr>
          </w:p>
        </w:tc>
        <w:tc>
          <w:tcPr>
            <w:tcW w:w="120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rightChars="0"/>
              <w:jc w:val="center"/>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较重B档</w:t>
            </w:r>
          </w:p>
        </w:tc>
        <w:tc>
          <w:tcPr>
            <w:tcW w:w="294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jc w:val="left"/>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造成医疗保障基金损失在5万元以上50万元以下的。</w:t>
            </w:r>
          </w:p>
        </w:tc>
        <w:tc>
          <w:tcPr>
            <w:tcW w:w="3026"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jc w:val="left"/>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责令退回损失基金，处损失基金金额2倍的罚款，责令定点医药机构暂停相关责任部门10个月涉及医疗保障基金使用的医药服务。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628"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vertAlign w:val="baseline"/>
              </w:rPr>
            </w:pPr>
          </w:p>
        </w:tc>
        <w:tc>
          <w:tcPr>
            <w:tcW w:w="294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vertAlign w:val="baseline"/>
              </w:rPr>
            </w:pPr>
          </w:p>
        </w:tc>
        <w:tc>
          <w:tcPr>
            <w:tcW w:w="117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vertAlign w:val="baseline"/>
              </w:rPr>
            </w:pPr>
          </w:p>
        </w:tc>
        <w:tc>
          <w:tcPr>
            <w:tcW w:w="1761"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vertAlign w:val="baseline"/>
              </w:rPr>
            </w:pPr>
          </w:p>
        </w:tc>
        <w:tc>
          <w:tcPr>
            <w:tcW w:w="120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rightChars="0"/>
              <w:jc w:val="center"/>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严重A档</w:t>
            </w:r>
          </w:p>
        </w:tc>
        <w:tc>
          <w:tcPr>
            <w:tcW w:w="294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jc w:val="left"/>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造成医疗保障基金损失在50万元以上的。</w:t>
            </w:r>
          </w:p>
        </w:tc>
        <w:tc>
          <w:tcPr>
            <w:tcW w:w="3026"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jc w:val="left"/>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责令退回损失基金，处损失基金金额2倍的罚款，责令定点医药机构暂停相关责任部门12个月涉及医疗保障基金使用的医药服务。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28" w:type="dxa"/>
            <w:vAlign w:val="center"/>
          </w:tcPr>
          <w:p>
            <w:pPr>
              <w:jc w:val="center"/>
              <w:rPr>
                <w:rFonts w:hint="eastAsia" w:asciiTheme="minorHAnsi" w:hAnsiTheme="minorHAnsi" w:eastAsiaTheme="minorEastAsia" w:cstheme="minorBidi"/>
                <w:b/>
                <w:bCs/>
                <w:kern w:val="2"/>
                <w:sz w:val="21"/>
                <w:szCs w:val="24"/>
                <w:vertAlign w:val="baseline"/>
                <w:lang w:val="en-US" w:eastAsia="zh-CN" w:bidi="ar-SA"/>
              </w:rPr>
            </w:pPr>
            <w:r>
              <w:rPr>
                <w:rFonts w:hint="eastAsia"/>
                <w:b/>
                <w:bCs/>
                <w:vertAlign w:val="baseline"/>
                <w:lang w:eastAsia="zh-CN"/>
              </w:rPr>
              <w:t>序号</w:t>
            </w:r>
          </w:p>
        </w:tc>
        <w:tc>
          <w:tcPr>
            <w:tcW w:w="2940" w:type="dxa"/>
            <w:vAlign w:val="center"/>
          </w:tcPr>
          <w:p>
            <w:pPr>
              <w:jc w:val="center"/>
              <w:rPr>
                <w:rFonts w:hint="eastAsia" w:asciiTheme="minorHAnsi" w:hAnsiTheme="minorHAnsi" w:eastAsiaTheme="minorEastAsia" w:cstheme="minorBidi"/>
                <w:b/>
                <w:bCs/>
                <w:kern w:val="2"/>
                <w:sz w:val="21"/>
                <w:szCs w:val="24"/>
                <w:vertAlign w:val="baseline"/>
                <w:lang w:val="en-US" w:eastAsia="zh-CN" w:bidi="ar-SA"/>
              </w:rPr>
            </w:pPr>
            <w:r>
              <w:rPr>
                <w:rFonts w:hint="eastAsia"/>
                <w:b/>
                <w:bCs/>
                <w:vertAlign w:val="baseline"/>
                <w:lang w:eastAsia="zh-CN"/>
              </w:rPr>
              <w:t>违法行为</w:t>
            </w:r>
          </w:p>
        </w:tc>
        <w:tc>
          <w:tcPr>
            <w:tcW w:w="1176" w:type="dxa"/>
            <w:vAlign w:val="center"/>
          </w:tcPr>
          <w:p>
            <w:pPr>
              <w:jc w:val="center"/>
              <w:rPr>
                <w:rFonts w:asciiTheme="minorHAnsi" w:hAnsiTheme="minorHAnsi" w:eastAsiaTheme="minorEastAsia" w:cstheme="minorBidi"/>
                <w:b/>
                <w:bCs/>
                <w:kern w:val="2"/>
                <w:sz w:val="21"/>
                <w:szCs w:val="24"/>
                <w:vertAlign w:val="baseline"/>
                <w:lang w:val="en-US" w:eastAsia="zh-CN" w:bidi="ar-SA"/>
              </w:rPr>
            </w:pPr>
            <w:r>
              <w:rPr>
                <w:rFonts w:hint="eastAsia"/>
                <w:b/>
                <w:bCs/>
                <w:vertAlign w:val="baseline"/>
              </w:rPr>
              <w:t>法定依据</w:t>
            </w:r>
          </w:p>
        </w:tc>
        <w:tc>
          <w:tcPr>
            <w:tcW w:w="1761" w:type="dxa"/>
            <w:vAlign w:val="center"/>
          </w:tcPr>
          <w:p>
            <w:pPr>
              <w:jc w:val="center"/>
              <w:rPr>
                <w:rFonts w:asciiTheme="minorHAnsi" w:hAnsiTheme="minorHAnsi" w:eastAsiaTheme="minorEastAsia" w:cstheme="minorBidi"/>
                <w:b/>
                <w:bCs/>
                <w:kern w:val="2"/>
                <w:sz w:val="21"/>
                <w:szCs w:val="24"/>
                <w:vertAlign w:val="baseline"/>
                <w:lang w:val="en-US" w:eastAsia="zh-CN" w:bidi="ar-SA"/>
              </w:rPr>
            </w:pPr>
            <w:r>
              <w:rPr>
                <w:rFonts w:hint="eastAsia"/>
                <w:b/>
                <w:bCs/>
                <w:vertAlign w:val="baseline"/>
              </w:rPr>
              <w:t>法定处罚标准</w:t>
            </w:r>
          </w:p>
        </w:tc>
        <w:tc>
          <w:tcPr>
            <w:tcW w:w="1204" w:type="dxa"/>
            <w:vAlign w:val="center"/>
          </w:tcPr>
          <w:p>
            <w:pPr>
              <w:jc w:val="center"/>
              <w:rPr>
                <w:rFonts w:asciiTheme="minorHAnsi" w:hAnsiTheme="minorHAnsi" w:eastAsiaTheme="minorEastAsia" w:cstheme="minorBidi"/>
                <w:b/>
                <w:bCs/>
                <w:kern w:val="2"/>
                <w:sz w:val="21"/>
                <w:szCs w:val="24"/>
                <w:vertAlign w:val="baseline"/>
                <w:lang w:val="en-US" w:eastAsia="zh-CN" w:bidi="ar-SA"/>
              </w:rPr>
            </w:pPr>
            <w:r>
              <w:rPr>
                <w:rFonts w:hint="eastAsia"/>
                <w:b/>
                <w:bCs/>
                <w:vertAlign w:val="baseline"/>
              </w:rPr>
              <w:t>裁量阶次</w:t>
            </w:r>
          </w:p>
        </w:tc>
        <w:tc>
          <w:tcPr>
            <w:tcW w:w="2940" w:type="dxa"/>
            <w:vAlign w:val="center"/>
          </w:tcPr>
          <w:p>
            <w:pPr>
              <w:jc w:val="center"/>
              <w:rPr>
                <w:rFonts w:hint="eastAsia" w:asciiTheme="minorHAnsi" w:hAnsiTheme="minorHAnsi" w:eastAsiaTheme="minorEastAsia" w:cstheme="minorBidi"/>
                <w:b/>
                <w:bCs/>
                <w:kern w:val="2"/>
                <w:sz w:val="21"/>
                <w:szCs w:val="24"/>
                <w:vertAlign w:val="baseline"/>
                <w:lang w:val="en-US" w:eastAsia="zh-CN" w:bidi="ar-SA"/>
              </w:rPr>
            </w:pPr>
            <w:r>
              <w:rPr>
                <w:rFonts w:hint="eastAsia"/>
                <w:b/>
                <w:bCs/>
                <w:vertAlign w:val="baseline"/>
                <w:lang w:eastAsia="zh-CN"/>
              </w:rPr>
              <w:t>先用情形</w:t>
            </w:r>
          </w:p>
        </w:tc>
        <w:tc>
          <w:tcPr>
            <w:tcW w:w="3026" w:type="dxa"/>
            <w:vAlign w:val="center"/>
          </w:tcPr>
          <w:p>
            <w:pPr>
              <w:jc w:val="center"/>
              <w:rPr>
                <w:rFonts w:hint="eastAsia" w:asciiTheme="minorHAnsi" w:hAnsiTheme="minorHAnsi" w:eastAsiaTheme="minorEastAsia" w:cstheme="minorBidi"/>
                <w:b/>
                <w:bCs/>
                <w:kern w:val="2"/>
                <w:sz w:val="21"/>
                <w:szCs w:val="24"/>
                <w:vertAlign w:val="baseline"/>
                <w:lang w:val="en-US" w:eastAsia="zh-CN" w:bidi="ar-SA"/>
              </w:rPr>
            </w:pPr>
            <w:r>
              <w:rPr>
                <w:rFonts w:hint="eastAsia"/>
                <w:b/>
                <w:bCs/>
                <w:vertAlign w:val="baseline"/>
                <w:lang w:eastAsia="zh-CN"/>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exact"/>
        </w:trPr>
        <w:tc>
          <w:tcPr>
            <w:tcW w:w="628"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rightChars="0"/>
              <w:jc w:val="center"/>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3</w:t>
            </w:r>
          </w:p>
          <w:p>
            <w:pPr>
              <w:keepNext w:val="0"/>
              <w:keepLines w:val="0"/>
              <w:pageBreakBefore w:val="0"/>
              <w:kinsoku/>
              <w:wordWrap/>
              <w:overflowPunct/>
              <w:topLinePunct w:val="0"/>
              <w:autoSpaceDE/>
              <w:autoSpaceDN/>
              <w:bidi w:val="0"/>
              <w:adjustRightInd/>
              <w:snapToGrid/>
              <w:spacing w:line="320" w:lineRule="exact"/>
              <w:jc w:val="both"/>
              <w:textAlignment w:val="auto"/>
              <w:rPr>
                <w:vertAlign w:val="baseline"/>
              </w:rPr>
            </w:pPr>
          </w:p>
        </w:tc>
        <w:tc>
          <w:tcPr>
            <w:tcW w:w="2940" w:type="dxa"/>
            <w:vMerge w:val="restart"/>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firstLineChars="0"/>
              <w:textAlignment w:val="auto"/>
              <w:rPr>
                <w:vertAlign w:val="baseline"/>
              </w:rPr>
            </w:pPr>
            <w:r>
              <w:rPr>
                <w:rFonts w:hint="eastAsia" w:ascii="微软雅黑" w:hAnsi="微软雅黑" w:eastAsia="微软雅黑" w:cs="微软雅黑"/>
                <w:i w:val="0"/>
                <w:iCs w:val="0"/>
                <w:caps w:val="0"/>
                <w:color w:val="333333"/>
                <w:spacing w:val="0"/>
                <w:sz w:val="21"/>
                <w:szCs w:val="21"/>
              </w:rPr>
              <w:t>定点医药机构有下列情形之一的：（一）未建立医疗保障基金使用内部管理制度，或者没有专门机构或者人员负责医疗保障基金使用管理工作；（二）未按照规定保管财务账目、会计凭证、处方、病历、治疗检查记录、费用明细、药品和医用耗材出入库记录等资料；（三）未按照规定通过医疗保障信息系统传送医疗保障基金使用有关数据；（四）未按照规定向医疗保障行政部门报告医疗保障基金使用监督管理所需信息；（五）未按照规定向社会公开医药费用、费用结构等信息；（六）除急诊、抢救等特殊情形外，未经参保人员或者其近亲属、监护人同意提供医疗保障基金支付范围以外的医药服务；（七）拒绝医疗保障等行政部门监督检查或者提供虚假情况。</w:t>
            </w:r>
          </w:p>
        </w:tc>
        <w:tc>
          <w:tcPr>
            <w:tcW w:w="1176"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rightChars="0"/>
              <w:jc w:val="both"/>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b w:val="0"/>
                <w:bCs w:val="0"/>
                <w:i w:val="0"/>
                <w:iCs w:val="0"/>
                <w:caps w:val="0"/>
                <w:color w:val="333333"/>
                <w:spacing w:val="0"/>
                <w:kern w:val="0"/>
                <w:sz w:val="21"/>
                <w:szCs w:val="21"/>
                <w:lang w:val="en-US" w:eastAsia="zh-CN" w:bidi="ar"/>
              </w:rPr>
              <w:t>《医疗保障基金使用监督管理条例》第三十九条</w:t>
            </w:r>
          </w:p>
        </w:tc>
        <w:tc>
          <w:tcPr>
            <w:tcW w:w="1761"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jc w:val="left"/>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b w:val="0"/>
                <w:bCs w:val="0"/>
                <w:i w:val="0"/>
                <w:iCs w:val="0"/>
                <w:caps w:val="0"/>
                <w:color w:val="333333"/>
                <w:spacing w:val="0"/>
                <w:kern w:val="0"/>
                <w:sz w:val="21"/>
                <w:szCs w:val="21"/>
                <w:lang w:val="en-US" w:eastAsia="zh-CN" w:bidi="ar"/>
              </w:rPr>
              <w:t>责令改正，并可以约谈有关负责人；拒不改正的，处1万元以上5万元以下的罚款。</w:t>
            </w:r>
          </w:p>
        </w:tc>
        <w:tc>
          <w:tcPr>
            <w:tcW w:w="120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rightChars="0"/>
              <w:jc w:val="center"/>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轻微D档</w:t>
            </w:r>
          </w:p>
        </w:tc>
        <w:tc>
          <w:tcPr>
            <w:tcW w:w="294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jc w:val="left"/>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违反第三十九条1-6款其中1款的。</w:t>
            </w:r>
          </w:p>
        </w:tc>
        <w:tc>
          <w:tcPr>
            <w:tcW w:w="3026"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jc w:val="left"/>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拒不改正的，处1万元的罚款。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exact"/>
        </w:trPr>
        <w:tc>
          <w:tcPr>
            <w:tcW w:w="628"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vertAlign w:val="baseline"/>
              </w:rPr>
            </w:pPr>
          </w:p>
        </w:tc>
        <w:tc>
          <w:tcPr>
            <w:tcW w:w="2940"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vertAlign w:val="baseline"/>
              </w:rPr>
            </w:pPr>
          </w:p>
        </w:tc>
        <w:tc>
          <w:tcPr>
            <w:tcW w:w="117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vertAlign w:val="baseline"/>
              </w:rPr>
            </w:pPr>
          </w:p>
        </w:tc>
        <w:tc>
          <w:tcPr>
            <w:tcW w:w="1761"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vertAlign w:val="baseline"/>
              </w:rPr>
            </w:pPr>
          </w:p>
        </w:tc>
        <w:tc>
          <w:tcPr>
            <w:tcW w:w="120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rightChars="0"/>
              <w:jc w:val="center"/>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一般C档</w:t>
            </w:r>
          </w:p>
        </w:tc>
        <w:tc>
          <w:tcPr>
            <w:tcW w:w="294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jc w:val="left"/>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违反第三十九条1-6款中2-3款的。</w:t>
            </w:r>
          </w:p>
        </w:tc>
        <w:tc>
          <w:tcPr>
            <w:tcW w:w="3026"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jc w:val="left"/>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拒不改正的，处3万元的罚款。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exact"/>
        </w:trPr>
        <w:tc>
          <w:tcPr>
            <w:tcW w:w="628"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vertAlign w:val="baseline"/>
              </w:rPr>
            </w:pPr>
          </w:p>
        </w:tc>
        <w:tc>
          <w:tcPr>
            <w:tcW w:w="2940"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vertAlign w:val="baseline"/>
              </w:rPr>
            </w:pPr>
          </w:p>
        </w:tc>
        <w:tc>
          <w:tcPr>
            <w:tcW w:w="117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vertAlign w:val="baseline"/>
              </w:rPr>
            </w:pPr>
          </w:p>
        </w:tc>
        <w:tc>
          <w:tcPr>
            <w:tcW w:w="1761"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vertAlign w:val="baseline"/>
              </w:rPr>
            </w:pPr>
          </w:p>
        </w:tc>
        <w:tc>
          <w:tcPr>
            <w:tcW w:w="120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rightChars="0"/>
              <w:jc w:val="center"/>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较重B档</w:t>
            </w:r>
          </w:p>
        </w:tc>
        <w:tc>
          <w:tcPr>
            <w:tcW w:w="294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jc w:val="left"/>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违反第三十九条1-6款中4-5款。</w:t>
            </w:r>
          </w:p>
        </w:tc>
        <w:tc>
          <w:tcPr>
            <w:tcW w:w="3026"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jc w:val="left"/>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拒不改正的，处4万元的罚款。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exact"/>
        </w:trPr>
        <w:tc>
          <w:tcPr>
            <w:tcW w:w="628"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vertAlign w:val="baseline"/>
              </w:rPr>
            </w:pPr>
          </w:p>
        </w:tc>
        <w:tc>
          <w:tcPr>
            <w:tcW w:w="2940"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vertAlign w:val="baseline"/>
              </w:rPr>
            </w:pPr>
          </w:p>
        </w:tc>
        <w:tc>
          <w:tcPr>
            <w:tcW w:w="117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vertAlign w:val="baseline"/>
              </w:rPr>
            </w:pPr>
          </w:p>
        </w:tc>
        <w:tc>
          <w:tcPr>
            <w:tcW w:w="1761"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vertAlign w:val="baseline"/>
              </w:rPr>
            </w:pPr>
          </w:p>
        </w:tc>
        <w:tc>
          <w:tcPr>
            <w:tcW w:w="120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rightChars="0"/>
              <w:jc w:val="center"/>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严重A档</w:t>
            </w:r>
          </w:p>
        </w:tc>
        <w:tc>
          <w:tcPr>
            <w:tcW w:w="294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jc w:val="left"/>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违反第三十九条1-6款中5款及以上的，或第七款。</w:t>
            </w:r>
          </w:p>
        </w:tc>
        <w:tc>
          <w:tcPr>
            <w:tcW w:w="3026"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jc w:val="left"/>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拒不改正的，处5万元的罚款。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28" w:type="dxa"/>
            <w:vAlign w:val="center"/>
          </w:tcPr>
          <w:p>
            <w:pPr>
              <w:jc w:val="center"/>
              <w:rPr>
                <w:rFonts w:hint="eastAsia" w:asciiTheme="minorHAnsi" w:hAnsiTheme="minorHAnsi" w:eastAsiaTheme="minorEastAsia" w:cstheme="minorBidi"/>
                <w:b/>
                <w:bCs/>
                <w:kern w:val="2"/>
                <w:sz w:val="21"/>
                <w:szCs w:val="24"/>
                <w:vertAlign w:val="baseline"/>
                <w:lang w:val="en-US" w:eastAsia="zh-CN" w:bidi="ar-SA"/>
              </w:rPr>
            </w:pPr>
            <w:r>
              <w:rPr>
                <w:rFonts w:hint="eastAsia"/>
                <w:b/>
                <w:bCs/>
                <w:vertAlign w:val="baseline"/>
                <w:lang w:eastAsia="zh-CN"/>
              </w:rPr>
              <w:t>序号</w:t>
            </w:r>
          </w:p>
        </w:tc>
        <w:tc>
          <w:tcPr>
            <w:tcW w:w="2940" w:type="dxa"/>
            <w:vAlign w:val="center"/>
          </w:tcPr>
          <w:p>
            <w:pPr>
              <w:jc w:val="center"/>
              <w:rPr>
                <w:rFonts w:hint="eastAsia" w:asciiTheme="minorHAnsi" w:hAnsiTheme="minorHAnsi" w:eastAsiaTheme="minorEastAsia" w:cstheme="minorBidi"/>
                <w:b/>
                <w:bCs/>
                <w:kern w:val="2"/>
                <w:sz w:val="21"/>
                <w:szCs w:val="24"/>
                <w:vertAlign w:val="baseline"/>
                <w:lang w:val="en-US" w:eastAsia="zh-CN" w:bidi="ar-SA"/>
              </w:rPr>
            </w:pPr>
            <w:r>
              <w:rPr>
                <w:rFonts w:hint="eastAsia"/>
                <w:b/>
                <w:bCs/>
                <w:vertAlign w:val="baseline"/>
                <w:lang w:eastAsia="zh-CN"/>
              </w:rPr>
              <w:t>违法行为</w:t>
            </w:r>
          </w:p>
        </w:tc>
        <w:tc>
          <w:tcPr>
            <w:tcW w:w="1176" w:type="dxa"/>
            <w:vAlign w:val="center"/>
          </w:tcPr>
          <w:p>
            <w:pPr>
              <w:jc w:val="center"/>
              <w:rPr>
                <w:rFonts w:asciiTheme="minorHAnsi" w:hAnsiTheme="minorHAnsi" w:eastAsiaTheme="minorEastAsia" w:cstheme="minorBidi"/>
                <w:b/>
                <w:bCs/>
                <w:kern w:val="2"/>
                <w:sz w:val="21"/>
                <w:szCs w:val="24"/>
                <w:vertAlign w:val="baseline"/>
                <w:lang w:val="en-US" w:eastAsia="zh-CN" w:bidi="ar-SA"/>
              </w:rPr>
            </w:pPr>
            <w:r>
              <w:rPr>
                <w:rFonts w:hint="eastAsia"/>
                <w:b/>
                <w:bCs/>
                <w:vertAlign w:val="baseline"/>
              </w:rPr>
              <w:t>法定依据</w:t>
            </w:r>
          </w:p>
        </w:tc>
        <w:tc>
          <w:tcPr>
            <w:tcW w:w="1761" w:type="dxa"/>
            <w:vAlign w:val="center"/>
          </w:tcPr>
          <w:p>
            <w:pPr>
              <w:jc w:val="center"/>
              <w:rPr>
                <w:rFonts w:asciiTheme="minorHAnsi" w:hAnsiTheme="minorHAnsi" w:eastAsiaTheme="minorEastAsia" w:cstheme="minorBidi"/>
                <w:b/>
                <w:bCs/>
                <w:kern w:val="2"/>
                <w:sz w:val="21"/>
                <w:szCs w:val="24"/>
                <w:vertAlign w:val="baseline"/>
                <w:lang w:val="en-US" w:eastAsia="zh-CN" w:bidi="ar-SA"/>
              </w:rPr>
            </w:pPr>
            <w:r>
              <w:rPr>
                <w:rFonts w:hint="eastAsia"/>
                <w:b/>
                <w:bCs/>
                <w:vertAlign w:val="baseline"/>
              </w:rPr>
              <w:t>法定处罚标准</w:t>
            </w:r>
          </w:p>
        </w:tc>
        <w:tc>
          <w:tcPr>
            <w:tcW w:w="1204" w:type="dxa"/>
            <w:vAlign w:val="center"/>
          </w:tcPr>
          <w:p>
            <w:pPr>
              <w:jc w:val="center"/>
              <w:rPr>
                <w:rFonts w:hint="eastAsia" w:asciiTheme="minorHAnsi" w:hAnsiTheme="minorHAnsi" w:eastAsiaTheme="minorEastAsia" w:cstheme="minorBidi"/>
                <w:b/>
                <w:bCs/>
                <w:kern w:val="2"/>
                <w:sz w:val="21"/>
                <w:szCs w:val="24"/>
                <w:vertAlign w:val="baseline"/>
                <w:lang w:val="en-US" w:eastAsia="zh-CN" w:bidi="ar-SA"/>
              </w:rPr>
            </w:pPr>
            <w:r>
              <w:rPr>
                <w:rFonts w:hint="eastAsia"/>
                <w:b/>
                <w:bCs/>
                <w:vertAlign w:val="baseline"/>
              </w:rPr>
              <w:t>裁量阶次</w:t>
            </w:r>
          </w:p>
        </w:tc>
        <w:tc>
          <w:tcPr>
            <w:tcW w:w="2940" w:type="dxa"/>
            <w:vAlign w:val="center"/>
          </w:tcPr>
          <w:p>
            <w:pPr>
              <w:jc w:val="center"/>
              <w:rPr>
                <w:rFonts w:hint="eastAsia" w:asciiTheme="minorHAnsi" w:hAnsiTheme="minorHAnsi" w:eastAsiaTheme="minorEastAsia" w:cstheme="minorBidi"/>
                <w:b/>
                <w:bCs/>
                <w:kern w:val="2"/>
                <w:sz w:val="21"/>
                <w:szCs w:val="24"/>
                <w:vertAlign w:val="baseline"/>
                <w:lang w:val="en-US" w:eastAsia="zh-CN" w:bidi="ar-SA"/>
              </w:rPr>
            </w:pPr>
            <w:r>
              <w:rPr>
                <w:rFonts w:hint="eastAsia"/>
                <w:b/>
                <w:bCs/>
                <w:vertAlign w:val="baseline"/>
                <w:lang w:eastAsia="zh-CN"/>
              </w:rPr>
              <w:t>先用情形</w:t>
            </w:r>
          </w:p>
        </w:tc>
        <w:tc>
          <w:tcPr>
            <w:tcW w:w="3026" w:type="dxa"/>
            <w:vAlign w:val="center"/>
          </w:tcPr>
          <w:p>
            <w:pPr>
              <w:jc w:val="center"/>
              <w:rPr>
                <w:rFonts w:hint="eastAsia" w:asciiTheme="minorHAnsi" w:hAnsiTheme="minorHAnsi" w:eastAsiaTheme="minorEastAsia" w:cstheme="minorBidi"/>
                <w:b/>
                <w:bCs/>
                <w:kern w:val="2"/>
                <w:sz w:val="21"/>
                <w:szCs w:val="24"/>
                <w:vertAlign w:val="baseline"/>
                <w:lang w:val="en-US" w:eastAsia="zh-CN" w:bidi="ar-SA"/>
              </w:rPr>
            </w:pPr>
            <w:r>
              <w:rPr>
                <w:rFonts w:hint="eastAsia"/>
                <w:b/>
                <w:bCs/>
                <w:vertAlign w:val="baseline"/>
                <w:lang w:eastAsia="zh-CN"/>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0" w:hRule="exact"/>
        </w:trPr>
        <w:tc>
          <w:tcPr>
            <w:tcW w:w="628"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rightChars="0"/>
              <w:jc w:val="center"/>
              <w:textAlignment w:val="auto"/>
              <w:rPr>
                <w:rFonts w:hint="default" w:ascii="微软雅黑" w:hAnsi="微软雅黑" w:eastAsia="微软雅黑" w:cs="微软雅黑"/>
                <w:i w:val="0"/>
                <w:iCs w:val="0"/>
                <w:caps w:val="0"/>
                <w:color w:val="333333"/>
                <w:spacing w:val="0"/>
                <w:kern w:val="0"/>
                <w:sz w:val="21"/>
                <w:szCs w:val="21"/>
                <w:lang w:val="en-US" w:eastAsia="zh-CN" w:bidi="ar"/>
              </w:rPr>
            </w:pPr>
            <w:r>
              <w:rPr>
                <w:rFonts w:hint="eastAsia" w:ascii="微软雅黑" w:hAnsi="微软雅黑" w:eastAsia="微软雅黑" w:cs="微软雅黑"/>
                <w:i w:val="0"/>
                <w:iCs w:val="0"/>
                <w:caps w:val="0"/>
                <w:color w:val="333333"/>
                <w:spacing w:val="0"/>
                <w:kern w:val="0"/>
                <w:sz w:val="21"/>
                <w:szCs w:val="21"/>
                <w:lang w:val="en-US" w:eastAsia="zh-CN" w:bidi="ar"/>
              </w:rPr>
              <w:t>4</w:t>
            </w:r>
          </w:p>
          <w:p>
            <w:pPr>
              <w:bidi w:val="0"/>
              <w:jc w:val="left"/>
              <w:rPr>
                <w:rFonts w:hint="eastAsia" w:asciiTheme="minorHAnsi" w:hAnsiTheme="minorHAnsi" w:eastAsiaTheme="minorEastAsia" w:cstheme="minorBidi"/>
                <w:kern w:val="2"/>
                <w:sz w:val="21"/>
                <w:szCs w:val="24"/>
                <w:lang w:val="en-US" w:eastAsia="zh-CN" w:bidi="ar-SA"/>
              </w:rPr>
            </w:pPr>
          </w:p>
        </w:tc>
        <w:tc>
          <w:tcPr>
            <w:tcW w:w="2940" w:type="dxa"/>
            <w:vMerge w:val="restart"/>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rPr>
              <w:t>定点医药机构有下列情形之一的：</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rightChars="0"/>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lang w:val="en-US" w:eastAsia="zh-CN" w:bidi="ar"/>
              </w:rPr>
              <w:t>（一）</w:t>
            </w:r>
            <w:r>
              <w:rPr>
                <w:rFonts w:hint="eastAsia" w:ascii="微软雅黑" w:hAnsi="微软雅黑" w:eastAsia="微软雅黑" w:cs="微软雅黑"/>
                <w:i w:val="0"/>
                <w:iCs w:val="0"/>
                <w:caps w:val="0"/>
                <w:color w:val="333333"/>
                <w:spacing w:val="0"/>
                <w:sz w:val="21"/>
                <w:szCs w:val="21"/>
              </w:rPr>
              <w:t>诱导、协助他人冒名或者虚假就医、购药、提供虚假证明材料，或者串通他人虚开费用单据；</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rightChars="0"/>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rPr>
              <w:t>（二）伪造、变造、隐匿、涂改、销毁医学文书、医学证明、会计凭证、电子信息等有关资料；</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rightChars="0"/>
              <w:textAlignment w:val="auto"/>
              <w:rPr>
                <w:rFonts w:asciiTheme="minorHAnsi" w:hAnsiTheme="minorHAnsi" w:eastAsiaTheme="minorEastAsia" w:cstheme="minorBidi"/>
                <w:color w:val="333333"/>
                <w:kern w:val="0"/>
                <w:sz w:val="24"/>
                <w:szCs w:val="24"/>
                <w:lang w:val="en-US" w:eastAsia="zh-CN" w:bidi="ar"/>
              </w:rPr>
            </w:pPr>
            <w:r>
              <w:rPr>
                <w:rFonts w:hint="eastAsia" w:ascii="微软雅黑" w:hAnsi="微软雅黑" w:eastAsia="微软雅黑" w:cs="微软雅黑"/>
                <w:i w:val="0"/>
                <w:iCs w:val="0"/>
                <w:caps w:val="0"/>
                <w:color w:val="333333"/>
                <w:spacing w:val="0"/>
                <w:sz w:val="21"/>
                <w:szCs w:val="21"/>
              </w:rPr>
              <w:t>（三）虚构医药服务项目；（四）其他骗取医疗保障基金支出的行为。</w:t>
            </w:r>
          </w:p>
        </w:tc>
        <w:tc>
          <w:tcPr>
            <w:tcW w:w="1176" w:type="dxa"/>
            <w:vMerge w:val="restart"/>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textAlignment w:val="auto"/>
              <w:rPr>
                <w:color w:val="333333"/>
                <w:sz w:val="24"/>
                <w:szCs w:val="24"/>
              </w:rPr>
            </w:pPr>
            <w:r>
              <w:rPr>
                <w:rFonts w:hint="eastAsia" w:ascii="微软雅黑" w:hAnsi="微软雅黑" w:eastAsia="微软雅黑" w:cs="微软雅黑"/>
                <w:b w:val="0"/>
                <w:bCs w:val="0"/>
                <w:i w:val="0"/>
                <w:iCs w:val="0"/>
                <w:caps w:val="0"/>
                <w:color w:val="333333"/>
                <w:spacing w:val="0"/>
                <w:sz w:val="21"/>
                <w:szCs w:val="21"/>
              </w:rPr>
              <w:t>《社会保险法》第八十七条，《医疗保障基金使用监督管理条例》第四十条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jc w:val="left"/>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 </w:t>
            </w:r>
          </w:p>
        </w:tc>
        <w:tc>
          <w:tcPr>
            <w:tcW w:w="1761"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jc w:val="left"/>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责令退回，处骗取金额2倍以上5倍以下的罚款；责令定点医药机构暂停相关责任部门6个月以上1年以下涉及医疗保障基金使用的医药服务，直至由医疗保障经办机构解除服务协议。</w:t>
            </w:r>
          </w:p>
        </w:tc>
        <w:tc>
          <w:tcPr>
            <w:tcW w:w="120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rightChars="0"/>
              <w:jc w:val="center"/>
              <w:textAlignment w:val="auto"/>
              <w:rPr>
                <w:rFonts w:hint="eastAsia"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轻微D档</w:t>
            </w:r>
          </w:p>
        </w:tc>
        <w:tc>
          <w:tcPr>
            <w:tcW w:w="294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jc w:val="left"/>
              <w:textAlignment w:val="auto"/>
              <w:rPr>
                <w:rFonts w:hint="eastAsia"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初次违法骗取医疗保障基金金额在5000元以下，但未及时改正的；再次违法且造成医疗保障基金损失在5000元以下的。</w:t>
            </w:r>
          </w:p>
        </w:tc>
        <w:tc>
          <w:tcPr>
            <w:tcW w:w="3026"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jc w:val="left"/>
              <w:textAlignment w:val="auto"/>
              <w:rPr>
                <w:rFonts w:hint="eastAsia"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责令退回损失基金，处骗取金额2倍的罚款，责令定点医药机构暂停相关责任部门6个月涉及医疗保障基金使用的医药服务。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0" w:hRule="exact"/>
        </w:trPr>
        <w:tc>
          <w:tcPr>
            <w:tcW w:w="628" w:type="dxa"/>
            <w:vMerge w:val="continue"/>
            <w:vAlign w:val="center"/>
          </w:tcPr>
          <w:p>
            <w:pPr>
              <w:jc w:val="both"/>
              <w:rPr>
                <w:vertAlign w:val="baseline"/>
              </w:rPr>
            </w:pPr>
          </w:p>
        </w:tc>
        <w:tc>
          <w:tcPr>
            <w:tcW w:w="294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vertAlign w:val="baseline"/>
              </w:rPr>
            </w:pPr>
          </w:p>
        </w:tc>
        <w:tc>
          <w:tcPr>
            <w:tcW w:w="117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vertAlign w:val="baseline"/>
              </w:rPr>
            </w:pPr>
          </w:p>
        </w:tc>
        <w:tc>
          <w:tcPr>
            <w:tcW w:w="1761"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vertAlign w:val="baseline"/>
              </w:rPr>
            </w:pPr>
          </w:p>
        </w:tc>
        <w:tc>
          <w:tcPr>
            <w:tcW w:w="120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rightChars="0"/>
              <w:jc w:val="center"/>
              <w:textAlignment w:val="auto"/>
              <w:rPr>
                <w:rFonts w:hint="eastAsia"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一般C档</w:t>
            </w:r>
          </w:p>
        </w:tc>
        <w:tc>
          <w:tcPr>
            <w:tcW w:w="294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jc w:val="left"/>
              <w:textAlignment w:val="auto"/>
              <w:rPr>
                <w:rFonts w:hint="eastAsia"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造成医疗保障基金损失在5000元以上5万元以下的。</w:t>
            </w:r>
          </w:p>
        </w:tc>
        <w:tc>
          <w:tcPr>
            <w:tcW w:w="3026"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jc w:val="left"/>
              <w:textAlignment w:val="auto"/>
              <w:rPr>
                <w:rFonts w:hint="eastAsia"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责令退回损失基金，处骗取金额3倍的罚款，责令定点医药机构暂停相关责任部门9个月涉及医疗保障基金使用的医药服务。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0" w:hRule="exact"/>
        </w:trPr>
        <w:tc>
          <w:tcPr>
            <w:tcW w:w="628" w:type="dxa"/>
            <w:vMerge w:val="continue"/>
            <w:vAlign w:val="center"/>
          </w:tcPr>
          <w:p>
            <w:pPr>
              <w:jc w:val="both"/>
              <w:rPr>
                <w:vertAlign w:val="baseline"/>
              </w:rPr>
            </w:pPr>
          </w:p>
        </w:tc>
        <w:tc>
          <w:tcPr>
            <w:tcW w:w="294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vertAlign w:val="baseline"/>
              </w:rPr>
            </w:pPr>
          </w:p>
        </w:tc>
        <w:tc>
          <w:tcPr>
            <w:tcW w:w="117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vertAlign w:val="baseline"/>
              </w:rPr>
            </w:pPr>
          </w:p>
        </w:tc>
        <w:tc>
          <w:tcPr>
            <w:tcW w:w="1761"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vertAlign w:val="baseline"/>
              </w:rPr>
            </w:pPr>
          </w:p>
        </w:tc>
        <w:tc>
          <w:tcPr>
            <w:tcW w:w="120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rightChars="0"/>
              <w:jc w:val="center"/>
              <w:textAlignment w:val="auto"/>
              <w:rPr>
                <w:rFonts w:hint="eastAsia"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较重B档</w:t>
            </w:r>
          </w:p>
        </w:tc>
        <w:tc>
          <w:tcPr>
            <w:tcW w:w="294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jc w:val="left"/>
              <w:textAlignment w:val="auto"/>
              <w:rPr>
                <w:rFonts w:hint="eastAsia"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造成医疗保障基金损失在5万元以上50万元以下的。</w:t>
            </w:r>
          </w:p>
        </w:tc>
        <w:tc>
          <w:tcPr>
            <w:tcW w:w="3026"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jc w:val="left"/>
              <w:textAlignment w:val="auto"/>
              <w:rPr>
                <w:rFonts w:hint="eastAsia"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责令退回损失基金，处骗取金额4倍的罚款，责令定点医药机构暂停相关责任部门12个月涉及医疗保障基金使用的医药服务。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0" w:hRule="exact"/>
        </w:trPr>
        <w:tc>
          <w:tcPr>
            <w:tcW w:w="628" w:type="dxa"/>
            <w:vMerge w:val="continue"/>
            <w:vAlign w:val="center"/>
          </w:tcPr>
          <w:p>
            <w:pPr>
              <w:jc w:val="both"/>
              <w:rPr>
                <w:vertAlign w:val="baseline"/>
              </w:rPr>
            </w:pPr>
          </w:p>
        </w:tc>
        <w:tc>
          <w:tcPr>
            <w:tcW w:w="294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vertAlign w:val="baseline"/>
              </w:rPr>
            </w:pPr>
          </w:p>
        </w:tc>
        <w:tc>
          <w:tcPr>
            <w:tcW w:w="117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vertAlign w:val="baseline"/>
              </w:rPr>
            </w:pPr>
          </w:p>
        </w:tc>
        <w:tc>
          <w:tcPr>
            <w:tcW w:w="1761"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vertAlign w:val="baseline"/>
              </w:rPr>
            </w:pPr>
          </w:p>
        </w:tc>
        <w:tc>
          <w:tcPr>
            <w:tcW w:w="120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rightChars="0"/>
              <w:jc w:val="center"/>
              <w:textAlignment w:val="auto"/>
              <w:rPr>
                <w:rFonts w:hint="eastAsia"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严重A档</w:t>
            </w:r>
          </w:p>
        </w:tc>
        <w:tc>
          <w:tcPr>
            <w:tcW w:w="294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jc w:val="left"/>
              <w:textAlignment w:val="auto"/>
              <w:rPr>
                <w:rFonts w:hint="eastAsia"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造成医疗保障基金损失在50万元以上的。</w:t>
            </w:r>
          </w:p>
        </w:tc>
        <w:tc>
          <w:tcPr>
            <w:tcW w:w="3026"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jc w:val="left"/>
              <w:textAlignment w:val="auto"/>
              <w:rPr>
                <w:rFonts w:hint="eastAsia"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责令退回损失基金，处骗取金额5倍的罚款，责令医疗保障经办机构解除服务协议。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28" w:type="dxa"/>
            <w:vAlign w:val="center"/>
          </w:tcPr>
          <w:p>
            <w:pPr>
              <w:jc w:val="center"/>
              <w:rPr>
                <w:rFonts w:hint="eastAsia" w:asciiTheme="minorHAnsi" w:hAnsiTheme="minorHAnsi" w:eastAsiaTheme="minorEastAsia" w:cstheme="minorBidi"/>
                <w:b/>
                <w:bCs/>
                <w:kern w:val="2"/>
                <w:sz w:val="21"/>
                <w:szCs w:val="24"/>
                <w:vertAlign w:val="baseline"/>
                <w:lang w:val="en-US" w:eastAsia="zh-CN" w:bidi="ar-SA"/>
              </w:rPr>
            </w:pPr>
            <w:r>
              <w:rPr>
                <w:rFonts w:hint="eastAsia"/>
                <w:b/>
                <w:bCs/>
                <w:vertAlign w:val="baseline"/>
                <w:lang w:eastAsia="zh-CN"/>
              </w:rPr>
              <w:t>序号</w:t>
            </w:r>
          </w:p>
        </w:tc>
        <w:tc>
          <w:tcPr>
            <w:tcW w:w="2940" w:type="dxa"/>
            <w:vAlign w:val="center"/>
          </w:tcPr>
          <w:p>
            <w:pPr>
              <w:jc w:val="center"/>
              <w:rPr>
                <w:rFonts w:hint="eastAsia" w:asciiTheme="minorHAnsi" w:hAnsiTheme="minorHAnsi" w:eastAsiaTheme="minorEastAsia" w:cstheme="minorBidi"/>
                <w:b/>
                <w:bCs/>
                <w:kern w:val="2"/>
                <w:sz w:val="21"/>
                <w:szCs w:val="24"/>
                <w:vertAlign w:val="baseline"/>
                <w:lang w:val="en-US" w:eastAsia="zh-CN" w:bidi="ar-SA"/>
              </w:rPr>
            </w:pPr>
            <w:r>
              <w:rPr>
                <w:rFonts w:hint="eastAsia"/>
                <w:b/>
                <w:bCs/>
                <w:vertAlign w:val="baseline"/>
                <w:lang w:eastAsia="zh-CN"/>
              </w:rPr>
              <w:t>违法行为</w:t>
            </w:r>
          </w:p>
        </w:tc>
        <w:tc>
          <w:tcPr>
            <w:tcW w:w="1176" w:type="dxa"/>
            <w:vAlign w:val="center"/>
          </w:tcPr>
          <w:p>
            <w:pPr>
              <w:jc w:val="center"/>
              <w:rPr>
                <w:rFonts w:asciiTheme="minorHAnsi" w:hAnsiTheme="minorHAnsi" w:eastAsiaTheme="minorEastAsia" w:cstheme="minorBidi"/>
                <w:b/>
                <w:bCs/>
                <w:kern w:val="2"/>
                <w:sz w:val="21"/>
                <w:szCs w:val="24"/>
                <w:vertAlign w:val="baseline"/>
                <w:lang w:val="en-US" w:eastAsia="zh-CN" w:bidi="ar-SA"/>
              </w:rPr>
            </w:pPr>
            <w:r>
              <w:rPr>
                <w:rFonts w:hint="eastAsia"/>
                <w:b/>
                <w:bCs/>
                <w:vertAlign w:val="baseline"/>
              </w:rPr>
              <w:t>法定依据</w:t>
            </w:r>
          </w:p>
        </w:tc>
        <w:tc>
          <w:tcPr>
            <w:tcW w:w="1761" w:type="dxa"/>
            <w:vAlign w:val="center"/>
          </w:tcPr>
          <w:p>
            <w:pPr>
              <w:jc w:val="center"/>
              <w:rPr>
                <w:rFonts w:asciiTheme="minorHAnsi" w:hAnsiTheme="minorHAnsi" w:eastAsiaTheme="minorEastAsia" w:cstheme="minorBidi"/>
                <w:b/>
                <w:bCs/>
                <w:kern w:val="2"/>
                <w:sz w:val="21"/>
                <w:szCs w:val="24"/>
                <w:vertAlign w:val="baseline"/>
                <w:lang w:val="en-US" w:eastAsia="zh-CN" w:bidi="ar-SA"/>
              </w:rPr>
            </w:pPr>
            <w:r>
              <w:rPr>
                <w:rFonts w:hint="eastAsia"/>
                <w:b/>
                <w:bCs/>
                <w:vertAlign w:val="baseline"/>
              </w:rPr>
              <w:t>法定处罚标准</w:t>
            </w:r>
          </w:p>
        </w:tc>
        <w:tc>
          <w:tcPr>
            <w:tcW w:w="1204" w:type="dxa"/>
            <w:vAlign w:val="center"/>
          </w:tcPr>
          <w:p>
            <w:pPr>
              <w:jc w:val="center"/>
              <w:rPr>
                <w:rFonts w:hint="eastAsia" w:asciiTheme="minorHAnsi" w:hAnsiTheme="minorHAnsi" w:eastAsiaTheme="minorEastAsia" w:cstheme="minorBidi"/>
                <w:b/>
                <w:bCs/>
                <w:kern w:val="2"/>
                <w:sz w:val="21"/>
                <w:szCs w:val="24"/>
                <w:vertAlign w:val="baseline"/>
                <w:lang w:val="en-US" w:eastAsia="zh-CN" w:bidi="ar-SA"/>
              </w:rPr>
            </w:pPr>
            <w:r>
              <w:rPr>
                <w:rFonts w:hint="eastAsia"/>
                <w:b/>
                <w:bCs/>
                <w:vertAlign w:val="baseline"/>
              </w:rPr>
              <w:t>裁量阶次</w:t>
            </w:r>
          </w:p>
        </w:tc>
        <w:tc>
          <w:tcPr>
            <w:tcW w:w="2940" w:type="dxa"/>
            <w:vAlign w:val="center"/>
          </w:tcPr>
          <w:p>
            <w:pPr>
              <w:jc w:val="center"/>
              <w:rPr>
                <w:rFonts w:hint="eastAsia" w:asciiTheme="minorHAnsi" w:hAnsiTheme="minorHAnsi" w:eastAsiaTheme="minorEastAsia" w:cstheme="minorBidi"/>
                <w:b/>
                <w:bCs/>
                <w:kern w:val="2"/>
                <w:sz w:val="21"/>
                <w:szCs w:val="24"/>
                <w:vertAlign w:val="baseline"/>
                <w:lang w:val="en-US" w:eastAsia="zh-CN" w:bidi="ar-SA"/>
              </w:rPr>
            </w:pPr>
            <w:r>
              <w:rPr>
                <w:rFonts w:hint="eastAsia"/>
                <w:b/>
                <w:bCs/>
                <w:vertAlign w:val="baseline"/>
                <w:lang w:eastAsia="zh-CN"/>
              </w:rPr>
              <w:t>先用情形</w:t>
            </w:r>
          </w:p>
        </w:tc>
        <w:tc>
          <w:tcPr>
            <w:tcW w:w="3026" w:type="dxa"/>
            <w:vAlign w:val="center"/>
          </w:tcPr>
          <w:p>
            <w:pPr>
              <w:jc w:val="center"/>
              <w:rPr>
                <w:rFonts w:hint="eastAsia" w:asciiTheme="minorHAnsi" w:hAnsiTheme="minorHAnsi" w:eastAsiaTheme="minorEastAsia" w:cstheme="minorBidi"/>
                <w:b/>
                <w:bCs/>
                <w:kern w:val="2"/>
                <w:sz w:val="21"/>
                <w:szCs w:val="24"/>
                <w:vertAlign w:val="baseline"/>
                <w:lang w:val="en-US" w:eastAsia="zh-CN" w:bidi="ar-SA"/>
              </w:rPr>
            </w:pPr>
            <w:r>
              <w:rPr>
                <w:rFonts w:hint="eastAsia"/>
                <w:b/>
                <w:bCs/>
                <w:vertAlign w:val="baseline"/>
                <w:lang w:eastAsia="zh-CN"/>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3" w:hRule="exact"/>
        </w:trPr>
        <w:tc>
          <w:tcPr>
            <w:tcW w:w="628" w:type="dxa"/>
            <w:vMerge w:val="restart"/>
            <w:vAlign w:val="center"/>
          </w:tcPr>
          <w:p>
            <w:pPr>
              <w:jc w:val="center"/>
              <w:rPr>
                <w:rFonts w:hint="eastAsia" w:eastAsiaTheme="minorEastAsia"/>
                <w:vertAlign w:val="baseline"/>
                <w:lang w:val="en-US" w:eastAsia="zh-CN"/>
              </w:rPr>
            </w:pPr>
            <w:r>
              <w:rPr>
                <w:rFonts w:hint="eastAsia"/>
                <w:vertAlign w:val="baseline"/>
                <w:lang w:val="en-US" w:eastAsia="zh-CN"/>
              </w:rPr>
              <w:t>5</w:t>
            </w:r>
          </w:p>
        </w:tc>
        <w:tc>
          <w:tcPr>
            <w:tcW w:w="2940" w:type="dxa"/>
            <w:vMerge w:val="restart"/>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textAlignment w:val="auto"/>
              <w:rPr>
                <w:color w:val="333333"/>
                <w:sz w:val="24"/>
                <w:szCs w:val="24"/>
              </w:rPr>
            </w:pPr>
            <w:r>
              <w:rPr>
                <w:rFonts w:hint="eastAsia" w:ascii="微软雅黑" w:hAnsi="微软雅黑" w:eastAsia="微软雅黑" w:cs="微软雅黑"/>
                <w:i w:val="0"/>
                <w:iCs w:val="0"/>
                <w:caps w:val="0"/>
                <w:color w:val="333333"/>
                <w:spacing w:val="0"/>
                <w:sz w:val="21"/>
                <w:szCs w:val="21"/>
              </w:rPr>
              <w:t>个人有下列情形之一的：（一）将本人的医疗保障凭证交由他人冒名使用；（二）重复享受医疗保障待遇；（三）利用享受医疗保障待遇的机会转卖药品，接受返还现金、实物或者获得其他非法利益。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jc w:val="left"/>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 </w:t>
            </w:r>
          </w:p>
        </w:tc>
        <w:tc>
          <w:tcPr>
            <w:tcW w:w="1176" w:type="dxa"/>
            <w:vMerge w:val="restart"/>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textAlignment w:val="auto"/>
              <w:rPr>
                <w:color w:val="333333"/>
                <w:sz w:val="24"/>
                <w:szCs w:val="24"/>
              </w:rPr>
            </w:pPr>
            <w:r>
              <w:rPr>
                <w:rFonts w:hint="eastAsia" w:ascii="微软雅黑" w:hAnsi="微软雅黑" w:eastAsia="微软雅黑" w:cs="微软雅黑"/>
                <w:b w:val="0"/>
                <w:bCs w:val="0"/>
                <w:i w:val="0"/>
                <w:iCs w:val="0"/>
                <w:caps w:val="0"/>
                <w:color w:val="333333"/>
                <w:spacing w:val="0"/>
                <w:sz w:val="21"/>
                <w:szCs w:val="21"/>
              </w:rPr>
              <w:t>《社会保险法》第八十八条，《医疗保障基金使用监督管理条例》第四十一条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jc w:val="left"/>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 </w:t>
            </w:r>
          </w:p>
        </w:tc>
        <w:tc>
          <w:tcPr>
            <w:tcW w:w="1761"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jc w:val="left"/>
              <w:textAlignment w:val="auto"/>
              <w:rPr>
                <w:rFonts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责令改正；造成医疗保障基金损失的，责令退回；属于参保人员的，暂停其医疗费用联网结算3个月至12个月。个人以骗取医疗保障基金为目的，骗取医疗保障基金支出的处骗取金额2倍以上5倍以下的罚款。</w:t>
            </w:r>
          </w:p>
        </w:tc>
        <w:tc>
          <w:tcPr>
            <w:tcW w:w="120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rightChars="0"/>
              <w:jc w:val="center"/>
              <w:textAlignment w:val="auto"/>
              <w:rPr>
                <w:rFonts w:hint="eastAsia"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轻微D档</w:t>
            </w:r>
          </w:p>
        </w:tc>
        <w:tc>
          <w:tcPr>
            <w:tcW w:w="294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jc w:val="left"/>
              <w:textAlignment w:val="auto"/>
              <w:rPr>
                <w:rFonts w:hint="eastAsia"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初次违法造成医疗保障基金损失在5000元以下，但未及时改正的；再次违法且造成医疗保障基金损失在5000元以下的。</w:t>
            </w:r>
          </w:p>
        </w:tc>
        <w:tc>
          <w:tcPr>
            <w:tcW w:w="3026"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jc w:val="left"/>
              <w:textAlignment w:val="auto"/>
              <w:rPr>
                <w:rFonts w:hint="eastAsia"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责令退回基金损失，暂停参保人员3个月医疗费用联网结算，处骗取金额2倍的罚款。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3" w:hRule="exact"/>
        </w:trPr>
        <w:tc>
          <w:tcPr>
            <w:tcW w:w="628" w:type="dxa"/>
            <w:vMerge w:val="continue"/>
            <w:vAlign w:val="center"/>
          </w:tcPr>
          <w:p>
            <w:pPr>
              <w:jc w:val="both"/>
              <w:rPr>
                <w:vertAlign w:val="baseline"/>
              </w:rPr>
            </w:pPr>
          </w:p>
        </w:tc>
        <w:tc>
          <w:tcPr>
            <w:tcW w:w="294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vertAlign w:val="baseline"/>
              </w:rPr>
            </w:pPr>
          </w:p>
        </w:tc>
        <w:tc>
          <w:tcPr>
            <w:tcW w:w="117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vertAlign w:val="baseline"/>
              </w:rPr>
            </w:pPr>
          </w:p>
        </w:tc>
        <w:tc>
          <w:tcPr>
            <w:tcW w:w="1761"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vertAlign w:val="baseline"/>
              </w:rPr>
            </w:pPr>
          </w:p>
        </w:tc>
        <w:tc>
          <w:tcPr>
            <w:tcW w:w="120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rightChars="0"/>
              <w:jc w:val="center"/>
              <w:textAlignment w:val="auto"/>
              <w:rPr>
                <w:rFonts w:hint="eastAsia"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一般C档</w:t>
            </w:r>
          </w:p>
        </w:tc>
        <w:tc>
          <w:tcPr>
            <w:tcW w:w="294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jc w:val="left"/>
              <w:textAlignment w:val="auto"/>
              <w:rPr>
                <w:rFonts w:hint="eastAsia"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骗取医疗保障基金支出，涉案基金金额在5000元以上5万元以下的。</w:t>
            </w:r>
          </w:p>
        </w:tc>
        <w:tc>
          <w:tcPr>
            <w:tcW w:w="3026"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jc w:val="left"/>
              <w:textAlignment w:val="auto"/>
              <w:rPr>
                <w:rFonts w:hint="eastAsia"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责令退回基金损失；暂停参保人员6个月医疗费用联网结算，并处骗取金额3倍的罚款。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3" w:hRule="exact"/>
        </w:trPr>
        <w:tc>
          <w:tcPr>
            <w:tcW w:w="628" w:type="dxa"/>
            <w:vMerge w:val="continue"/>
            <w:vAlign w:val="center"/>
          </w:tcPr>
          <w:p>
            <w:pPr>
              <w:jc w:val="both"/>
              <w:rPr>
                <w:vertAlign w:val="baseline"/>
              </w:rPr>
            </w:pPr>
          </w:p>
        </w:tc>
        <w:tc>
          <w:tcPr>
            <w:tcW w:w="294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vertAlign w:val="baseline"/>
              </w:rPr>
            </w:pPr>
          </w:p>
        </w:tc>
        <w:tc>
          <w:tcPr>
            <w:tcW w:w="117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vertAlign w:val="baseline"/>
              </w:rPr>
            </w:pPr>
          </w:p>
        </w:tc>
        <w:tc>
          <w:tcPr>
            <w:tcW w:w="1761"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vertAlign w:val="baseline"/>
              </w:rPr>
            </w:pPr>
          </w:p>
        </w:tc>
        <w:tc>
          <w:tcPr>
            <w:tcW w:w="120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rightChars="0"/>
              <w:jc w:val="center"/>
              <w:textAlignment w:val="auto"/>
              <w:rPr>
                <w:rFonts w:hint="eastAsia"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较重B档</w:t>
            </w:r>
          </w:p>
        </w:tc>
        <w:tc>
          <w:tcPr>
            <w:tcW w:w="294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jc w:val="left"/>
              <w:textAlignment w:val="auto"/>
              <w:rPr>
                <w:rFonts w:hint="eastAsia"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骗取医疗保障基金支出，涉案基金金额在5万元以上50万元以下的。</w:t>
            </w:r>
          </w:p>
        </w:tc>
        <w:tc>
          <w:tcPr>
            <w:tcW w:w="3026"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jc w:val="left"/>
              <w:textAlignment w:val="auto"/>
              <w:rPr>
                <w:rFonts w:hint="eastAsia"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责令退回基金损失；暂停参保人员9个月医疗费用联网结算，并处骗取金额4倍的罚款。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3" w:hRule="exact"/>
        </w:trPr>
        <w:tc>
          <w:tcPr>
            <w:tcW w:w="628" w:type="dxa"/>
            <w:vMerge w:val="continue"/>
            <w:vAlign w:val="center"/>
          </w:tcPr>
          <w:p>
            <w:pPr>
              <w:jc w:val="both"/>
              <w:rPr>
                <w:vertAlign w:val="baseline"/>
              </w:rPr>
            </w:pPr>
          </w:p>
        </w:tc>
        <w:tc>
          <w:tcPr>
            <w:tcW w:w="294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vertAlign w:val="baseline"/>
              </w:rPr>
            </w:pPr>
          </w:p>
        </w:tc>
        <w:tc>
          <w:tcPr>
            <w:tcW w:w="117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vertAlign w:val="baseline"/>
              </w:rPr>
            </w:pPr>
          </w:p>
        </w:tc>
        <w:tc>
          <w:tcPr>
            <w:tcW w:w="1761"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vertAlign w:val="baseline"/>
              </w:rPr>
            </w:pPr>
          </w:p>
        </w:tc>
        <w:tc>
          <w:tcPr>
            <w:tcW w:w="120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rightChars="0"/>
              <w:jc w:val="center"/>
              <w:textAlignment w:val="auto"/>
              <w:rPr>
                <w:rFonts w:hint="eastAsia"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严重A档</w:t>
            </w:r>
          </w:p>
        </w:tc>
        <w:tc>
          <w:tcPr>
            <w:tcW w:w="294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jc w:val="left"/>
              <w:textAlignment w:val="auto"/>
              <w:rPr>
                <w:rFonts w:hint="eastAsia"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骗取医疗保障基金支出，涉案基金金额在50万元以上的。</w:t>
            </w:r>
          </w:p>
        </w:tc>
        <w:tc>
          <w:tcPr>
            <w:tcW w:w="3026"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jc w:val="left"/>
              <w:textAlignment w:val="auto"/>
              <w:rPr>
                <w:rFonts w:hint="eastAsia" w:asciiTheme="minorHAnsi" w:hAnsiTheme="minorHAnsi" w:eastAsiaTheme="minorEastAsia" w:cstheme="minorBidi"/>
                <w:color w:val="333333"/>
                <w:kern w:val="2"/>
                <w:sz w:val="24"/>
                <w:szCs w:val="24"/>
                <w:lang w:val="en-US" w:eastAsia="zh-CN" w:bidi="ar-SA"/>
              </w:rPr>
            </w:pPr>
            <w:r>
              <w:rPr>
                <w:rFonts w:hint="eastAsia" w:ascii="微软雅黑" w:hAnsi="微软雅黑" w:eastAsia="微软雅黑" w:cs="微软雅黑"/>
                <w:i w:val="0"/>
                <w:iCs w:val="0"/>
                <w:caps w:val="0"/>
                <w:color w:val="333333"/>
                <w:spacing w:val="0"/>
                <w:kern w:val="0"/>
                <w:sz w:val="21"/>
                <w:szCs w:val="21"/>
                <w:lang w:val="en-US" w:eastAsia="zh-CN" w:bidi="ar"/>
              </w:rPr>
              <w:t>责令退回基金损失；暂停参保人员12个月医疗费用联网结算，并处骗取金额5倍罚款。</w:t>
            </w:r>
          </w:p>
        </w:tc>
      </w:tr>
    </w:tbl>
    <w:p>
      <w:pPr>
        <w:widowControl/>
        <w:adjustRightInd w:val="0"/>
        <w:snapToGrid w:val="0"/>
        <w:spacing w:before="400" w:line="360" w:lineRule="auto"/>
        <w:jc w:val="both"/>
        <w:rPr>
          <w:rFonts w:hint="eastAsia" w:ascii="仿宋" w:hAnsi="仿宋" w:eastAsia="仿宋" w:cs="仿宋"/>
          <w:i w:val="0"/>
          <w:iCs w:val="0"/>
          <w:caps w:val="0"/>
          <w:color w:val="auto"/>
          <w:spacing w:val="0"/>
          <w:sz w:val="32"/>
          <w:szCs w:val="32"/>
          <w:lang w:val="en-US" w:eastAsia="zh-CN"/>
        </w:rPr>
      </w:pPr>
      <w:bookmarkStart w:id="0" w:name="_GoBack"/>
      <w:bookmarkEnd w:id="0"/>
    </w:p>
    <w:sectPr>
      <w:pgSz w:w="16838" w:h="11906" w:orient="landscape"/>
      <w:pgMar w:top="1587" w:right="2098" w:bottom="1587"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CFA28432-7B50-4096-81E8-7621A83B5ACB}"/>
  </w:font>
  <w:font w:name="方正小标宋_GBK">
    <w:panose1 w:val="02000000000000000000"/>
    <w:charset w:val="86"/>
    <w:family w:val="auto"/>
    <w:pitch w:val="default"/>
    <w:sig w:usb0="A00002BF" w:usb1="38CF7CFA" w:usb2="00082016" w:usb3="00000000" w:csb0="00040001" w:csb1="00000000"/>
    <w:embedRegular r:id="rId2" w:fontKey="{8A803B52-EF6E-41EA-B356-1E5EC52C6E8B}"/>
  </w:font>
  <w:font w:name="微软雅黑">
    <w:panose1 w:val="020B0503020204020204"/>
    <w:charset w:val="86"/>
    <w:family w:val="auto"/>
    <w:pitch w:val="default"/>
    <w:sig w:usb0="80000287" w:usb1="280F3C52" w:usb2="00000016" w:usb3="00000000" w:csb0="0004001F" w:csb1="00000000"/>
    <w:embedRegular r:id="rId3" w:fontKey="{0D960EFB-AF2F-4B57-A24D-0B634916B72A}"/>
  </w:font>
  <w:font w:name="方正仿宋简体">
    <w:panose1 w:val="03000509000000000000"/>
    <w:charset w:val="86"/>
    <w:family w:val="auto"/>
    <w:pitch w:val="default"/>
    <w:sig w:usb0="00000001" w:usb1="080E0000" w:usb2="00000000" w:usb3="00000000" w:csb0="00040000" w:csb1="00000000"/>
    <w:embedRegular r:id="rId4" w:fontKey="{7F05F4CB-7073-4C89-849B-DDA5F855D6BC}"/>
  </w:font>
  <w:font w:name="仿宋">
    <w:panose1 w:val="02010609060101010101"/>
    <w:charset w:val="86"/>
    <w:family w:val="auto"/>
    <w:pitch w:val="default"/>
    <w:sig w:usb0="800002BF" w:usb1="38CF7CFA" w:usb2="00000016" w:usb3="00000000" w:csb0="00040001" w:csb1="00000000"/>
    <w:embedRegular r:id="rId5" w:fontKey="{716EDD23-1C99-48AA-A149-89F1A16112A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0YzNhYjkyYTVmNTliMWQ0NzZjYWE3NTRhMzE1NDAifQ=="/>
  </w:docVars>
  <w:rsids>
    <w:rsidRoot w:val="48947505"/>
    <w:rsid w:val="0002561E"/>
    <w:rsid w:val="00360E24"/>
    <w:rsid w:val="0256755B"/>
    <w:rsid w:val="03D64DF8"/>
    <w:rsid w:val="074B3407"/>
    <w:rsid w:val="075E313A"/>
    <w:rsid w:val="08872516"/>
    <w:rsid w:val="08E7715F"/>
    <w:rsid w:val="08E81855"/>
    <w:rsid w:val="091B505B"/>
    <w:rsid w:val="09840E52"/>
    <w:rsid w:val="0AC534D0"/>
    <w:rsid w:val="0B444D3D"/>
    <w:rsid w:val="0D4D7F35"/>
    <w:rsid w:val="0EB36461"/>
    <w:rsid w:val="0F4071D2"/>
    <w:rsid w:val="0FD57F70"/>
    <w:rsid w:val="10231B1A"/>
    <w:rsid w:val="11AE1162"/>
    <w:rsid w:val="11D87F8D"/>
    <w:rsid w:val="121865DB"/>
    <w:rsid w:val="12695089"/>
    <w:rsid w:val="12A10CC7"/>
    <w:rsid w:val="147F0B94"/>
    <w:rsid w:val="14A84289"/>
    <w:rsid w:val="15F07F9B"/>
    <w:rsid w:val="160C0188"/>
    <w:rsid w:val="168C6FF3"/>
    <w:rsid w:val="170B670F"/>
    <w:rsid w:val="19940C3D"/>
    <w:rsid w:val="199724DC"/>
    <w:rsid w:val="1AD11A1D"/>
    <w:rsid w:val="1B1C0EEA"/>
    <w:rsid w:val="1B970EB9"/>
    <w:rsid w:val="1CFF0AC4"/>
    <w:rsid w:val="1DB25B36"/>
    <w:rsid w:val="1E0D0FBE"/>
    <w:rsid w:val="1E960FB4"/>
    <w:rsid w:val="1F417171"/>
    <w:rsid w:val="1F592B7E"/>
    <w:rsid w:val="205B4263"/>
    <w:rsid w:val="21A165ED"/>
    <w:rsid w:val="22DE496F"/>
    <w:rsid w:val="2338088B"/>
    <w:rsid w:val="24C148B0"/>
    <w:rsid w:val="24F178CF"/>
    <w:rsid w:val="25C91C6F"/>
    <w:rsid w:val="27390D20"/>
    <w:rsid w:val="285C6DCA"/>
    <w:rsid w:val="285E0D94"/>
    <w:rsid w:val="29D42D8F"/>
    <w:rsid w:val="2B6366C1"/>
    <w:rsid w:val="2C02455B"/>
    <w:rsid w:val="2C041C52"/>
    <w:rsid w:val="2CD21D51"/>
    <w:rsid w:val="2DD13DB6"/>
    <w:rsid w:val="2F963509"/>
    <w:rsid w:val="309F12AF"/>
    <w:rsid w:val="31F2254D"/>
    <w:rsid w:val="325946B1"/>
    <w:rsid w:val="32F10A57"/>
    <w:rsid w:val="34452E08"/>
    <w:rsid w:val="369342FF"/>
    <w:rsid w:val="37265173"/>
    <w:rsid w:val="37B9647D"/>
    <w:rsid w:val="37F7266B"/>
    <w:rsid w:val="38A6346D"/>
    <w:rsid w:val="3AD44EE6"/>
    <w:rsid w:val="3B9457DF"/>
    <w:rsid w:val="3D1B32A0"/>
    <w:rsid w:val="3EAD477D"/>
    <w:rsid w:val="41004C87"/>
    <w:rsid w:val="41526B64"/>
    <w:rsid w:val="41EC520B"/>
    <w:rsid w:val="41F83BB0"/>
    <w:rsid w:val="42B2733B"/>
    <w:rsid w:val="43F87E97"/>
    <w:rsid w:val="455E01CE"/>
    <w:rsid w:val="463E71C8"/>
    <w:rsid w:val="46B1432D"/>
    <w:rsid w:val="487675DC"/>
    <w:rsid w:val="48947505"/>
    <w:rsid w:val="493E459E"/>
    <w:rsid w:val="4A7E09CA"/>
    <w:rsid w:val="4CB644C2"/>
    <w:rsid w:val="4D622825"/>
    <w:rsid w:val="503264DF"/>
    <w:rsid w:val="50D1064E"/>
    <w:rsid w:val="528648C0"/>
    <w:rsid w:val="52A03BD4"/>
    <w:rsid w:val="53A72D40"/>
    <w:rsid w:val="53FF0DCE"/>
    <w:rsid w:val="5449029B"/>
    <w:rsid w:val="55191A1B"/>
    <w:rsid w:val="55202DAA"/>
    <w:rsid w:val="553E1482"/>
    <w:rsid w:val="562E7E99"/>
    <w:rsid w:val="57B819BF"/>
    <w:rsid w:val="58492617"/>
    <w:rsid w:val="58CB74D0"/>
    <w:rsid w:val="5A18400F"/>
    <w:rsid w:val="5A482DBC"/>
    <w:rsid w:val="5BD4669C"/>
    <w:rsid w:val="5C1B42CB"/>
    <w:rsid w:val="5C871960"/>
    <w:rsid w:val="5CB12E81"/>
    <w:rsid w:val="5D327B1E"/>
    <w:rsid w:val="5E714676"/>
    <w:rsid w:val="5EB36A3D"/>
    <w:rsid w:val="5F6402AF"/>
    <w:rsid w:val="5FC03B07"/>
    <w:rsid w:val="609B00D0"/>
    <w:rsid w:val="60F4333C"/>
    <w:rsid w:val="611B3FDC"/>
    <w:rsid w:val="61952D71"/>
    <w:rsid w:val="619D5782"/>
    <w:rsid w:val="620E6DF6"/>
    <w:rsid w:val="62B86D17"/>
    <w:rsid w:val="63243202"/>
    <w:rsid w:val="636C365E"/>
    <w:rsid w:val="64306D81"/>
    <w:rsid w:val="647942F8"/>
    <w:rsid w:val="64A15589"/>
    <w:rsid w:val="64A5151D"/>
    <w:rsid w:val="64FB738F"/>
    <w:rsid w:val="65FA31A3"/>
    <w:rsid w:val="68EB3277"/>
    <w:rsid w:val="6AA73195"/>
    <w:rsid w:val="6AB4215C"/>
    <w:rsid w:val="6D000DBD"/>
    <w:rsid w:val="6DCA78FF"/>
    <w:rsid w:val="6E131E5E"/>
    <w:rsid w:val="6E4C3259"/>
    <w:rsid w:val="6F1C418A"/>
    <w:rsid w:val="710D46D2"/>
    <w:rsid w:val="713734FD"/>
    <w:rsid w:val="71593474"/>
    <w:rsid w:val="723914F7"/>
    <w:rsid w:val="72A46970"/>
    <w:rsid w:val="73A82490"/>
    <w:rsid w:val="740D2C3B"/>
    <w:rsid w:val="742D0BE7"/>
    <w:rsid w:val="74D86DA5"/>
    <w:rsid w:val="75073AB1"/>
    <w:rsid w:val="757F5473"/>
    <w:rsid w:val="76B64EC4"/>
    <w:rsid w:val="7745284B"/>
    <w:rsid w:val="778B00FF"/>
    <w:rsid w:val="77C27899"/>
    <w:rsid w:val="77E347BD"/>
    <w:rsid w:val="781A1483"/>
    <w:rsid w:val="78372035"/>
    <w:rsid w:val="794C38BE"/>
    <w:rsid w:val="79817A0B"/>
    <w:rsid w:val="7A1C14E2"/>
    <w:rsid w:val="7A6F1F5A"/>
    <w:rsid w:val="7A804167"/>
    <w:rsid w:val="7DA16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index 5"/>
    <w:basedOn w:val="1"/>
    <w:next w:val="1"/>
    <w:qFormat/>
    <w:uiPriority w:val="0"/>
    <w:pPr>
      <w:ind w:left="1680"/>
    </w:pPr>
  </w:style>
  <w:style w:type="paragraph" w:styleId="3">
    <w:name w:val="footer"/>
    <w:basedOn w:val="1"/>
    <w:next w:val="2"/>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2536</Words>
  <Characters>2548</Characters>
  <Lines>0</Lines>
  <Paragraphs>0</Paragraphs>
  <TotalTime>8</TotalTime>
  <ScaleCrop>false</ScaleCrop>
  <LinksUpToDate>false</LinksUpToDate>
  <CharactersWithSpaces>5723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2023-08-31T02:16:00Z</dcterms:created>
  <dc:creator>口丁口当</dc:creator>
  <cp:lastModifiedBy>霞霞</cp:lastModifiedBy>
  <cp:lastPrinted>2023-11-01T01:01:00Z</cp:lastPrinted>
  <dcterms:modified xsi:type="dcterms:W3CDTF">2023-11-02T07:32:52Z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C1770AC162044C039FF28861B2567630_13</vt:lpwstr>
  </property>
</Properties>
</file>