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6"/>
          <w:szCs w:val="36"/>
        </w:rPr>
        <w:t xml:space="preserve"> </w:t>
      </w:r>
      <w:r>
        <w:rPr>
          <w:rFonts w:ascii="Calibri" w:hAnsi="Calibri" w:eastAsia="黑体" w:cs="Times New Roman"/>
          <w:kern w:val="0"/>
          <w:sz w:val="32"/>
          <w:szCs w:val="32"/>
        </w:rPr>
        <w:t>附件1-1</w:t>
      </w:r>
    </w:p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黑体" w:eastAsia="方正小标宋简体" w:cs="Times New Roman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4"/>
          <w:szCs w:val="21"/>
        </w:rPr>
        <w:t xml:space="preserve"> 填报单位：（盖章）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ab/>
      </w:r>
    </w:p>
    <w:tbl>
      <w:tblPr>
        <w:tblStyle w:val="5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沅江市史志编纂室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78.96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其中：  一般公共预算：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78.96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24.96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 xml:space="preserve">       政府性基金拨款：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 xml:space="preserve">             其他资金：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pStyle w:val="4"/>
              <w:spacing w:line="480" w:lineRule="exact"/>
              <w:ind w:firstLine="420" w:firstLineChars="200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（一）贯彻落实中央、省、益阳市有关</w:t>
            </w:r>
            <w:bookmarkStart w:id="0" w:name="qihoosnap1"/>
            <w:bookmarkEnd w:id="0"/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史志工作方针、政策、指示，规划和组织沅江史志修编工作。</w:t>
            </w:r>
          </w:p>
          <w:p>
            <w:pPr>
              <w:pStyle w:val="4"/>
              <w:spacing w:line="480" w:lineRule="exact"/>
              <w:ind w:firstLine="420" w:firstLineChars="200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（二）在沅江市委的领导下，征集、整理、编纂辖域文史典籍、地情资料、民俗风情等，为市域政治、经济、文化、社会、生态建设服务。</w:t>
            </w:r>
          </w:p>
          <w:p>
            <w:pPr>
              <w:pStyle w:val="4"/>
              <w:spacing w:line="480" w:lineRule="exact"/>
              <w:ind w:firstLine="420" w:firstLineChars="200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（三）编纂沅江地方史志丛书，具体包括《沅江纪事》、《沅江年鉴》、《沅江市志》以及部门单位史志丛书等。</w:t>
            </w:r>
          </w:p>
          <w:p>
            <w:pPr>
              <w:pStyle w:val="4"/>
              <w:spacing w:line="480" w:lineRule="exact"/>
              <w:ind w:firstLine="420" w:firstLineChars="200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（四）对各部门和镇场街道进行史志工作的业务指导和业务培训工作。</w:t>
            </w:r>
          </w:p>
          <w:p>
            <w:pPr>
              <w:pStyle w:val="4"/>
              <w:spacing w:line="480" w:lineRule="exact"/>
              <w:ind w:firstLine="420" w:firstLineChars="200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（五）运用史志资料和史志研究成果，开展各种形式的史志宣传教育，参与组织重大党史事件，重要党史人物的纪念活动，参与全市重大史志题材出版物的审查工作。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（六）承办上级业务部门布置和交办的党史科研课题、专题文章、人物传略、书籍编写、党史重大事件等事项。</w:t>
            </w:r>
          </w:p>
          <w:p>
            <w:pPr>
              <w:pStyle w:val="4"/>
              <w:ind w:firstLine="420" w:firstLineChars="200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（七）负责党史联络组日常业务工作，为史志工作协作提供交流研究的平台。</w:t>
            </w:r>
          </w:p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（八）完成市委、市政府交办的其他工作任务。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目标1：全力保障史志室开展各项中心工作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目标2：全力保障史志室开展各项业务工作及专项工作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  <w:t>目标3：全力保障史志室干职工各项工资福利待遇及时足额落实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书籍编印数量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≥册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无政治、史科、文字问题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预算内完成项目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编撰完成及时率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≥%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提高党史研究室参与经济社会发展，特别是旅游产业发展的能力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转化利用党史研究成果，充分发挥党史存史、资政、育人的作用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提供自然科学研究资料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推动社会可持续发展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群众满意度</w:t>
            </w:r>
          </w:p>
        </w:tc>
        <w:tc>
          <w:tcPr>
            <w:tcW w:w="2629" w:type="dxa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≥%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彭博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15874278384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2023年7月28日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单位负责人签字：</w:t>
      </w: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ascii="Calibri" w:hAnsi="Calibri" w:eastAsia="黑体" w:cs="Times New Roman"/>
          <w:kern w:val="0"/>
          <w:sz w:val="32"/>
          <w:szCs w:val="32"/>
        </w:rPr>
        <w:br w:type="page"/>
      </w:r>
    </w:p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bookmarkStart w:id="1" w:name="_GoBack"/>
      <w:bookmarkEnd w:id="1"/>
      <w:r>
        <w:rPr>
          <w:rFonts w:ascii="Calibri" w:hAnsi="Calibri" w:eastAsia="黑体" w:cs="Times New Roman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5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838"/>
        <w:gridCol w:w="1262"/>
        <w:gridCol w:w="2900"/>
        <w:gridCol w:w="1213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《沅江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市委工作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纪事》《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中共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益阳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市委工作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纪事》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17.5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完成书籍编印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完成书籍编印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编撰完成数量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≥500册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无政治、史科、文字问题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无问题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编撰完成及时率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≥100%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预算内完成项目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无超预算行为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提高参与经济社会发展，特别是旅游产业发展的能力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转化利用党史研究成果，充分发挥党史存史、资政、育人的作用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提供自然科学研究资料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推动社会可持续发展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群众满意度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≥100%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14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彭博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15874278384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2023年7月28日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单位负责人签字：</w:t>
      </w:r>
    </w:p>
    <w:p/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黑体" w:cs="Times New Roman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5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838"/>
        <w:gridCol w:w="1262"/>
        <w:gridCol w:w="2900"/>
        <w:gridCol w:w="1213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党史专题专项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rPr>
          <w:trHeight w:val="9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完成书籍编印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完成书籍编印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编撰完成数量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≥500册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无政治、史科、文字问题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无问题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13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编撰完成及时率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≥100%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13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预算内完成项目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无超预算行为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13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提高参与经济社会发展，特别是旅游产业发展的能力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转化利用党史研究成果，充分发挥党史存史、资政、育人的作用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提供自然科学研究资料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56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推动社会可持续发展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52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群众满意度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≥100%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彭博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15874278384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2023年7月28日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单位负责人签字：</w:t>
      </w:r>
    </w:p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黑体" w:cs="Times New Roman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5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838"/>
        <w:gridCol w:w="1262"/>
        <w:gridCol w:w="2900"/>
        <w:gridCol w:w="1213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《沅江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年鉴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》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编印专项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完成书籍编印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完成书籍编印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编撰完成数量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≥500册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无政治、史科、文字问题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无问题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编撰完成及时率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≥100%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预算内完成项目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无超预算行为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提高参与经济社会发展，特别是旅游产业发展的能力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转化利用党史研究成果，充分发挥党史存史、资政、育人的作用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提供自然科学研究资料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推动社会可持续发展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群众满意度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≥100%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彭博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15874278384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2023年7月28日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单位负责人签字：</w:t>
      </w:r>
    </w:p>
    <w:p/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黑体" w:cs="Times New Roman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5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838"/>
        <w:gridCol w:w="1262"/>
        <w:gridCol w:w="2900"/>
        <w:gridCol w:w="1213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地情挖掘专项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完成地情挖掘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完成地情挖掘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cs="Times New Roman"/>
                <w:kern w:val="0"/>
                <w:sz w:val="20"/>
                <w:szCs w:val="20"/>
                <w:lang w:val="en-US" w:eastAsia="zh-CN" w:bidi="zh-CN"/>
              </w:rPr>
              <w:t>地情挖掘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数量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≥</w:t>
            </w:r>
            <w:r>
              <w:rPr>
                <w:rFonts w:hint="eastAsia" w:ascii="Times New Roman" w:cs="Times New Roman"/>
                <w:kern w:val="0"/>
                <w:sz w:val="20"/>
                <w:szCs w:val="20"/>
                <w:lang w:val="en-US" w:eastAsia="zh-CN" w:bidi="zh-CN"/>
              </w:rPr>
              <w:t>1个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无政治、史科、文字问题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无问题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cs="Times New Roman"/>
                <w:kern w:val="0"/>
                <w:sz w:val="20"/>
                <w:szCs w:val="20"/>
                <w:lang w:val="en-US" w:eastAsia="zh-CN" w:bidi="zh-CN"/>
              </w:rPr>
              <w:t>挖掘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完成及时率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zh-CN"/>
              </w:rPr>
              <w:t>≥100%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预算内完成项目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无超预算行为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85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提高参与经济社会发展，特别是旅游产业发展的能力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转化利用党史研究成果，充分发挥党史存史、资政、育人的作用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7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提供自然科学研究资料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推动社会可持续发展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有明显作用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群众满意度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≥100%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彭博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15874278384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2023年7月28日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单位负责人签字：</w:t>
      </w: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NWEzYWUyZDMyNzk0ZDNiNjAyMGZjMTU5OGU3YjkifQ=="/>
  </w:docVars>
  <w:rsids>
    <w:rsidRoot w:val="02C16A35"/>
    <w:rsid w:val="02C16A35"/>
    <w:rsid w:val="56B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next w:val="2"/>
    <w:semiHidden/>
    <w:qFormat/>
    <w:uiPriority w:val="99"/>
    <w:pPr>
      <w:ind w:firstLine="420" w:firstLineChars="100"/>
    </w:pPr>
    <w:rPr>
      <w:rFonts w:cs="Times New Roman"/>
      <w:szCs w:val="24"/>
    </w:rPr>
  </w:style>
  <w:style w:type="paragraph" w:styleId="4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customStyle="1" w:styleId="7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2023-07-28T01:47:00Z</dcterms:created>
  <dc:creator>彭博</dc:creator>
  <cp:lastModifiedBy>彭博</cp:lastModifiedBy>
  <cp:lastPrinted>2023-07-28T02:19:00Z</cp:lastPrinted>
  <dcterms:modified xsi:type="dcterms:W3CDTF">2023-07-28T02:19:07Z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0B0304EA0BF4439295E82B462E5ABA33_11</vt:lpwstr>
  </property>
</Properties>
</file>