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10"/>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沅江市烈士陵园服务中心</w:t>
      </w: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0"/>
        <w:jc w:val="center"/>
        <w:rPr>
          <w:rFonts w:hint="eastAsia" w:ascii="方正小标宋_GBK" w:hAnsi="方正小标宋_GBK" w:eastAsia="方正小标宋_GBK" w:cs="方正小标宋_GBK"/>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both"/>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沅江市烈士陵园服务中心</w:t>
      </w:r>
      <w:r>
        <w:rPr>
          <w:rFonts w:hint="eastAsia" w:ascii="黑体" w:hAnsi="黑体" w:eastAsia="黑体" w:cs="黑体"/>
          <w:b w:val="0"/>
          <w:bCs/>
          <w:sz w:val="28"/>
          <w:szCs w:val="28"/>
        </w:rPr>
        <w:t>概况</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沅江市烈士陵园服务中心</w:t>
      </w: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1"/>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shd w:val="clear" w:color="auto" w:fill="FFFFFF"/>
        <w:spacing w:before="100" w:after="100" w:line="560" w:lineRule="atLeast"/>
        <w:ind w:left="781" w:leftChars="229" w:hanging="300" w:hangingChars="100"/>
        <w:jc w:val="left"/>
        <w:rPr>
          <w:rFonts w:hint="eastAsia" w:ascii="仿宋" w:hAnsi="仿宋" w:eastAsia="仿宋" w:cs="仿宋_GB2312"/>
          <w:color w:val="333333"/>
          <w:kern w:val="0"/>
          <w:sz w:val="30"/>
          <w:szCs w:val="30"/>
          <w:shd w:val="clear" w:color="auto" w:fill="FFFFFF"/>
          <w:lang w:bidi="ar"/>
        </w:rPr>
      </w:pPr>
      <w:r>
        <w:rPr>
          <w:rFonts w:hint="eastAsia" w:ascii="仿宋" w:hAnsi="仿宋" w:eastAsia="仿宋" w:cs="仿宋_GB2312"/>
          <w:color w:val="333333"/>
          <w:kern w:val="0"/>
          <w:sz w:val="30"/>
          <w:szCs w:val="30"/>
          <w:shd w:val="clear" w:color="auto" w:fill="FFFFFF"/>
          <w:lang w:bidi="ar"/>
        </w:rPr>
        <w:t>1.根据国家有关制度，认真贯彻执上级有关规定不违法，不违反规章制度。</w:t>
      </w:r>
    </w:p>
    <w:p>
      <w:pPr>
        <w:widowControl/>
        <w:shd w:val="clear" w:color="auto" w:fill="FFFFFF"/>
        <w:spacing w:before="100" w:after="100" w:line="560" w:lineRule="atLeast"/>
        <w:ind w:firstLine="450" w:firstLineChars="150"/>
        <w:jc w:val="left"/>
        <w:rPr>
          <w:rFonts w:hint="eastAsia" w:ascii="仿宋" w:hAnsi="仿宋" w:eastAsia="仿宋" w:cs="仿宋_GB2312"/>
          <w:color w:val="333333"/>
          <w:kern w:val="0"/>
          <w:sz w:val="30"/>
          <w:szCs w:val="30"/>
          <w:shd w:val="clear" w:color="auto" w:fill="FFFFFF"/>
          <w:lang w:bidi="ar"/>
        </w:rPr>
      </w:pPr>
      <w:r>
        <w:rPr>
          <w:rFonts w:hint="eastAsia" w:ascii="仿宋" w:hAnsi="仿宋" w:eastAsia="仿宋" w:cs="仿宋_GB2312"/>
          <w:color w:val="333333"/>
          <w:kern w:val="0"/>
          <w:sz w:val="30"/>
          <w:szCs w:val="30"/>
          <w:shd w:val="clear" w:color="auto" w:fill="FFFFFF"/>
          <w:lang w:bidi="ar"/>
        </w:rPr>
        <w:t>2.严格物价政策，负责规范收费项目。</w:t>
      </w:r>
    </w:p>
    <w:p>
      <w:pPr>
        <w:widowControl/>
        <w:shd w:val="clear" w:color="auto" w:fill="FFFFFF"/>
        <w:spacing w:before="100" w:after="100" w:line="560" w:lineRule="atLeast"/>
        <w:ind w:firstLine="450" w:firstLineChars="150"/>
        <w:jc w:val="left"/>
        <w:rPr>
          <w:rFonts w:hint="eastAsia" w:ascii="仿宋" w:hAnsi="仿宋" w:eastAsia="仿宋" w:cs="仿宋_GB2312"/>
          <w:color w:val="333333"/>
          <w:kern w:val="0"/>
          <w:sz w:val="30"/>
          <w:szCs w:val="30"/>
          <w:shd w:val="clear" w:color="auto" w:fill="FFFFFF"/>
          <w:lang w:bidi="ar"/>
        </w:rPr>
      </w:pPr>
      <w:r>
        <w:rPr>
          <w:rFonts w:hint="eastAsia" w:ascii="仿宋" w:hAnsi="仿宋" w:eastAsia="仿宋" w:cs="仿宋_GB2312"/>
          <w:color w:val="333333"/>
          <w:kern w:val="0"/>
          <w:sz w:val="30"/>
          <w:szCs w:val="30"/>
          <w:shd w:val="clear" w:color="auto" w:fill="FFFFFF"/>
          <w:lang w:bidi="ar"/>
        </w:rPr>
        <w:t>3.加强墓园管理，保证卫生、美观、安全。</w:t>
      </w:r>
    </w:p>
    <w:p>
      <w:pPr>
        <w:widowControl/>
        <w:shd w:val="clear" w:color="auto" w:fill="FFFFFF"/>
        <w:spacing w:before="100" w:after="100" w:line="560" w:lineRule="atLeast"/>
        <w:ind w:firstLine="450" w:firstLineChars="150"/>
        <w:jc w:val="left"/>
        <w:rPr>
          <w:rFonts w:hint="eastAsia" w:ascii="仿宋" w:hAnsi="仿宋" w:eastAsia="仿宋" w:cs="仿宋_GB2312"/>
          <w:color w:val="333333"/>
          <w:kern w:val="0"/>
          <w:sz w:val="30"/>
          <w:szCs w:val="30"/>
          <w:shd w:val="clear" w:color="auto" w:fill="FFFFFF"/>
          <w:lang w:bidi="ar"/>
        </w:rPr>
      </w:pPr>
      <w:r>
        <w:rPr>
          <w:rFonts w:hint="eastAsia" w:ascii="仿宋" w:hAnsi="仿宋" w:eastAsia="仿宋" w:cs="仿宋_GB2312"/>
          <w:color w:val="333333"/>
          <w:kern w:val="0"/>
          <w:sz w:val="30"/>
          <w:szCs w:val="30"/>
          <w:shd w:val="clear" w:color="auto" w:fill="FFFFFF"/>
          <w:lang w:bidi="ar"/>
        </w:rPr>
        <w:t>4、做好墓地宣传及烈士广场的维护。</w:t>
      </w:r>
    </w:p>
    <w:p>
      <w:pPr>
        <w:widowControl/>
        <w:shd w:val="clear" w:color="auto" w:fill="FFFFFF"/>
        <w:spacing w:before="100" w:after="100" w:line="560" w:lineRule="atLeast"/>
        <w:ind w:firstLine="450" w:firstLineChars="150"/>
        <w:jc w:val="left"/>
        <w:rPr>
          <w:rFonts w:hint="eastAsia" w:ascii="仿宋" w:hAnsi="仿宋" w:eastAsia="仿宋" w:cs="仿宋_GB2312"/>
          <w:color w:val="333333"/>
          <w:kern w:val="0"/>
          <w:sz w:val="30"/>
          <w:szCs w:val="30"/>
          <w:shd w:val="clear" w:color="auto" w:fill="FFFFFF"/>
          <w:lang w:bidi="ar"/>
        </w:rPr>
      </w:pPr>
      <w:r>
        <w:rPr>
          <w:rFonts w:hint="eastAsia" w:ascii="仿宋" w:hAnsi="仿宋" w:eastAsia="仿宋" w:cs="仿宋_GB2312"/>
          <w:color w:val="333333"/>
          <w:kern w:val="0"/>
          <w:sz w:val="30"/>
          <w:szCs w:val="30"/>
          <w:shd w:val="clear" w:color="auto" w:fill="FFFFFF"/>
          <w:lang w:bidi="ar"/>
        </w:rPr>
        <w:t>5、负责革命烈士的褒扬工作</w:t>
      </w:r>
    </w:p>
    <w:p>
      <w:pPr>
        <w:widowControl/>
        <w:shd w:val="clear" w:color="auto" w:fill="FFFFFF"/>
        <w:spacing w:before="100" w:after="100" w:line="560" w:lineRule="atLeast"/>
        <w:ind w:left="480"/>
        <w:jc w:val="left"/>
        <w:rPr>
          <w:rFonts w:hint="eastAsia" w:ascii="仿宋" w:hAnsi="仿宋" w:eastAsia="仿宋" w:cs="仿宋_GB2312"/>
          <w:color w:val="333333"/>
          <w:kern w:val="0"/>
          <w:sz w:val="30"/>
          <w:szCs w:val="30"/>
          <w:shd w:val="clear" w:color="auto" w:fill="FFFFFF"/>
          <w:lang w:bidi="ar"/>
        </w:rPr>
      </w:pPr>
      <w:r>
        <w:rPr>
          <w:rFonts w:hint="eastAsia" w:ascii="仿宋" w:hAnsi="仿宋" w:eastAsia="仿宋" w:cs="仿宋_GB2312"/>
          <w:color w:val="333333"/>
          <w:kern w:val="0"/>
          <w:sz w:val="30"/>
          <w:szCs w:val="30"/>
          <w:shd w:val="clear" w:color="auto" w:fill="FFFFFF"/>
          <w:lang w:bidi="ar"/>
        </w:rPr>
        <w:t>6、负责革命烈士的骨灰安放工作。</w:t>
      </w:r>
    </w:p>
    <w:p>
      <w:pPr>
        <w:numPr>
          <w:ilvl w:val="0"/>
          <w:numId w:val="0"/>
        </w:numPr>
        <w:ind w:left="0" w:leftChars="0" w:firstLine="416" w:firstLineChars="139"/>
        <w:jc w:val="left"/>
        <w:rPr>
          <w:rFonts w:ascii="仿宋" w:hAnsi="仿宋" w:eastAsia="仿宋"/>
          <w:sz w:val="30"/>
          <w:szCs w:val="24"/>
        </w:rPr>
      </w:pPr>
      <w:r>
        <w:rPr>
          <w:rFonts w:hint="eastAsia" w:ascii="仿宋" w:hAnsi="仿宋" w:eastAsia="仿宋" w:cs="仿宋_GB2312"/>
          <w:color w:val="333333"/>
          <w:kern w:val="0"/>
          <w:sz w:val="30"/>
          <w:szCs w:val="30"/>
          <w:shd w:val="clear" w:color="auto" w:fill="FFFFFF"/>
          <w:lang w:val="en-US" w:eastAsia="zh-CN" w:bidi="ar"/>
        </w:rPr>
        <w:t>7、</w:t>
      </w:r>
      <w:r>
        <w:rPr>
          <w:rFonts w:hint="eastAsia" w:ascii="仿宋" w:hAnsi="仿宋" w:eastAsia="仿宋" w:cs="仿宋_GB2312"/>
          <w:color w:val="333333"/>
          <w:kern w:val="0"/>
          <w:sz w:val="30"/>
          <w:szCs w:val="30"/>
          <w:shd w:val="clear" w:color="auto" w:fill="FFFFFF"/>
          <w:lang w:bidi="ar"/>
        </w:rPr>
        <w:t>负责为社会各界及烈士亲属祭扫活动提供服务，充分发挥爱国主义及青少年教育基地的作用。</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rPr>
          <w:rFonts w:hint="eastAsia" w:ascii="Times New Roman" w:hAnsi="Times New Roman" w:eastAsia="仿宋" w:cs="仿宋_GB2312"/>
          <w:bCs/>
          <w:kern w:val="0"/>
          <w:sz w:val="32"/>
          <w:szCs w:val="32"/>
          <w:lang w:eastAsia="zh-CN"/>
        </w:rPr>
      </w:pPr>
      <w:r>
        <w:rPr>
          <w:rFonts w:hint="eastAsia" w:ascii="仿宋" w:hAnsi="仿宋" w:eastAsia="仿宋"/>
          <w:sz w:val="30"/>
          <w:szCs w:val="24"/>
        </w:rPr>
        <w:t>机构设置情况：沅江市烈士陵园服务中心是民政局下属的二级事业单位。</w:t>
      </w:r>
      <w:r>
        <w:rPr>
          <w:rFonts w:hint="eastAsia" w:ascii="仿宋" w:hAnsi="仿宋" w:eastAsia="仿宋"/>
          <w:color w:val="000000"/>
          <w:kern w:val="0"/>
          <w:sz w:val="30"/>
          <w:szCs w:val="24"/>
        </w:rPr>
        <w:t>根据编委核定，纳入</w:t>
      </w:r>
      <w:r>
        <w:rPr>
          <w:rFonts w:ascii="仿宋" w:hAnsi="仿宋" w:eastAsia="仿宋"/>
          <w:color w:val="000000"/>
          <w:kern w:val="0"/>
          <w:sz w:val="30"/>
          <w:szCs w:val="24"/>
        </w:rPr>
        <w:t>20</w:t>
      </w:r>
      <w:r>
        <w:rPr>
          <w:rFonts w:hint="eastAsia" w:ascii="仿宋" w:hAnsi="仿宋" w:eastAsia="仿宋"/>
          <w:color w:val="000000"/>
          <w:kern w:val="0"/>
          <w:sz w:val="30"/>
          <w:szCs w:val="24"/>
          <w:lang w:val="en-US" w:eastAsia="zh-CN"/>
        </w:rPr>
        <w:t>22</w:t>
      </w:r>
      <w:r>
        <w:rPr>
          <w:rFonts w:hint="eastAsia" w:ascii="仿宋" w:hAnsi="仿宋" w:eastAsia="仿宋"/>
          <w:color w:val="000000"/>
          <w:kern w:val="0"/>
          <w:sz w:val="30"/>
          <w:szCs w:val="24"/>
        </w:rPr>
        <w:t>年部门决算编制范围</w:t>
      </w:r>
      <w:r>
        <w:rPr>
          <w:rFonts w:hint="eastAsia" w:ascii="仿宋" w:hAnsi="仿宋" w:eastAsia="仿宋"/>
          <w:color w:val="000000"/>
          <w:kern w:val="0"/>
          <w:sz w:val="30"/>
          <w:szCs w:val="24"/>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5428" w:type="dxa"/>
        <w:tblInd w:w="0" w:type="dxa"/>
        <w:tblLayout w:type="fixed"/>
        <w:tblCellMar>
          <w:top w:w="0" w:type="dxa"/>
          <w:left w:w="0" w:type="dxa"/>
          <w:bottom w:w="0" w:type="dxa"/>
          <w:right w:w="0" w:type="dxa"/>
        </w:tblCellMar>
      </w:tblPr>
      <w:tblGrid>
        <w:gridCol w:w="70"/>
        <w:gridCol w:w="653"/>
        <w:gridCol w:w="3475"/>
        <w:gridCol w:w="2795"/>
        <w:gridCol w:w="2795"/>
        <w:gridCol w:w="977"/>
        <w:gridCol w:w="977"/>
        <w:gridCol w:w="977"/>
        <w:gridCol w:w="977"/>
        <w:gridCol w:w="1732"/>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6"/>
              <w:tblW w:w="14896"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78"/>
              <w:gridCol w:w="594"/>
              <w:gridCol w:w="1409"/>
              <w:gridCol w:w="5075"/>
              <w:gridCol w:w="1142"/>
              <w:gridCol w:w="447"/>
              <w:gridCol w:w="448"/>
              <w:gridCol w:w="1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582"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590"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438"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193"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196"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897"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60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部门：沅江市烈士陵园服务中心</w:t>
                  </w:r>
                </w:p>
              </w:tc>
              <w:tc>
                <w:tcPr>
                  <w:tcW w:w="60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64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11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406"/>
                    </w:tabs>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48.35</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588.18</w:t>
                  </w: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636.52</w:t>
                  </w: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636.52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636.52</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636.52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4896"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7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5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99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89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89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0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0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0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0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74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994" w:type="dxa"/>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沅江市烈士陵园服务中心</w:t>
            </w:r>
            <w:r>
              <w:rPr>
                <w:rFonts w:hint="eastAsia"/>
              </w:rPr>
              <w:t>　</w:t>
            </w:r>
          </w:p>
        </w:tc>
        <w:tc>
          <w:tcPr>
            <w:tcW w:w="289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89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01"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90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0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0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741"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241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241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26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26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26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26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79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74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994"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28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8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9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74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994"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8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8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9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434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289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289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90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90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90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90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6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434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2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636.52</w:t>
            </w:r>
          </w:p>
        </w:tc>
        <w:tc>
          <w:tcPr>
            <w:tcW w:w="2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48.35</w:t>
            </w:r>
          </w:p>
        </w:tc>
        <w:tc>
          <w:tcPr>
            <w:tcW w:w="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7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208</w:t>
            </w:r>
          </w:p>
        </w:tc>
        <w:tc>
          <w:tcPr>
            <w:tcW w:w="299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633.70</w:t>
            </w:r>
          </w:p>
        </w:tc>
        <w:tc>
          <w:tcPr>
            <w:tcW w:w="2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45.52</w:t>
            </w:r>
          </w:p>
        </w:tc>
        <w:tc>
          <w:tcPr>
            <w:tcW w:w="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7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20802</w:t>
            </w:r>
          </w:p>
        </w:tc>
        <w:tc>
          <w:tcPr>
            <w:tcW w:w="299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民政管理事务</w:t>
            </w:r>
          </w:p>
        </w:tc>
        <w:tc>
          <w:tcPr>
            <w:tcW w:w="2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631.20</w:t>
            </w:r>
          </w:p>
        </w:tc>
        <w:tc>
          <w:tcPr>
            <w:tcW w:w="2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43.02</w:t>
            </w:r>
          </w:p>
        </w:tc>
        <w:tc>
          <w:tcPr>
            <w:tcW w:w="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7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2080201</w:t>
            </w:r>
          </w:p>
        </w:tc>
        <w:tc>
          <w:tcPr>
            <w:tcW w:w="299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631.20</w:t>
            </w:r>
          </w:p>
        </w:tc>
        <w:tc>
          <w:tcPr>
            <w:tcW w:w="2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43.02</w:t>
            </w:r>
          </w:p>
        </w:tc>
        <w:tc>
          <w:tcPr>
            <w:tcW w:w="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7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20808</w:t>
            </w:r>
          </w:p>
        </w:tc>
        <w:tc>
          <w:tcPr>
            <w:tcW w:w="299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2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2.50</w:t>
            </w:r>
          </w:p>
        </w:tc>
        <w:tc>
          <w:tcPr>
            <w:tcW w:w="2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2.50</w:t>
            </w:r>
          </w:p>
        </w:tc>
        <w:tc>
          <w:tcPr>
            <w:tcW w:w="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7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2080899</w:t>
            </w:r>
          </w:p>
        </w:tc>
        <w:tc>
          <w:tcPr>
            <w:tcW w:w="299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2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2.50</w:t>
            </w:r>
          </w:p>
        </w:tc>
        <w:tc>
          <w:tcPr>
            <w:tcW w:w="2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2.50</w:t>
            </w:r>
          </w:p>
        </w:tc>
        <w:tc>
          <w:tcPr>
            <w:tcW w:w="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7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221</w:t>
            </w:r>
          </w:p>
        </w:tc>
        <w:tc>
          <w:tcPr>
            <w:tcW w:w="299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2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2.82</w:t>
            </w:r>
          </w:p>
        </w:tc>
        <w:tc>
          <w:tcPr>
            <w:tcW w:w="2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2.82</w:t>
            </w:r>
          </w:p>
        </w:tc>
        <w:tc>
          <w:tcPr>
            <w:tcW w:w="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7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5"/>
                <w:szCs w:val="15"/>
              </w:rPr>
            </w:pPr>
            <w:r>
              <w:rPr>
                <w:rFonts w:hint="eastAsia" w:ascii="宋体" w:hAnsi="宋体" w:eastAsia="宋体" w:cs="宋体"/>
                <w:i w:val="0"/>
                <w:iCs w:val="0"/>
                <w:color w:val="000000"/>
                <w:kern w:val="0"/>
                <w:sz w:val="15"/>
                <w:szCs w:val="15"/>
                <w:u w:val="none"/>
                <w:lang w:val="en-US" w:eastAsia="zh-CN" w:bidi="ar"/>
              </w:rPr>
              <w:t>22102</w:t>
            </w:r>
          </w:p>
        </w:tc>
        <w:tc>
          <w:tcPr>
            <w:tcW w:w="299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住房改革支出</w:t>
            </w:r>
          </w:p>
        </w:tc>
        <w:tc>
          <w:tcPr>
            <w:tcW w:w="2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2.82</w:t>
            </w:r>
          </w:p>
        </w:tc>
        <w:tc>
          <w:tcPr>
            <w:tcW w:w="2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2.82</w:t>
            </w:r>
          </w:p>
        </w:tc>
        <w:tc>
          <w:tcPr>
            <w:tcW w:w="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7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5"/>
                <w:szCs w:val="15"/>
              </w:rPr>
            </w:pPr>
            <w:r>
              <w:rPr>
                <w:rFonts w:hint="eastAsia" w:ascii="宋体" w:hAnsi="宋体" w:eastAsia="宋体" w:cs="宋体"/>
                <w:i w:val="0"/>
                <w:iCs w:val="0"/>
                <w:color w:val="000000"/>
                <w:kern w:val="0"/>
                <w:sz w:val="15"/>
                <w:szCs w:val="15"/>
                <w:u w:val="none"/>
                <w:lang w:val="en-US" w:eastAsia="zh-CN" w:bidi="ar"/>
              </w:rPr>
              <w:t>2210201</w:t>
            </w:r>
          </w:p>
        </w:tc>
        <w:tc>
          <w:tcPr>
            <w:tcW w:w="299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2.82</w:t>
            </w:r>
          </w:p>
        </w:tc>
        <w:tc>
          <w:tcPr>
            <w:tcW w:w="2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2.82</w:t>
            </w:r>
          </w:p>
        </w:tc>
        <w:tc>
          <w:tcPr>
            <w:tcW w:w="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6"/>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2980"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沅江市烈士陵园服务中心</w:t>
            </w: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636.52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636.52</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社会保障和就业支出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633.70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633.70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20802</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民政管理事务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631.20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631.20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2080201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 xml:space="preserve">  行政运行</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631.20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631.20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抚恤</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 xml:space="preserve">  其他优抚支出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住房保障支出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2.82</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住房改革支出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2.82</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 xml:space="preserve">  住房公积金</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2.82</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沅江市烈士陵园服务中心</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48.35</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48.35</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48.35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48.35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48.35</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48.35</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48.35</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i w:val="0"/>
          <w:color w:val="000000"/>
          <w:kern w:val="0"/>
          <w:sz w:val="20"/>
          <w:szCs w:val="20"/>
          <w:u w:val="none"/>
          <w:lang w:val="en-US" w:eastAsia="zh-CN" w:bidi="ar"/>
        </w:rPr>
        <w:t>沅江市烈士陵园服务中心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48.35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48.35</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45.52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45.52</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民政管理事务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43.02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43.02</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43.02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43.02</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2.82</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2.82</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2.82</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2.82</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2.82</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2.82</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996"/>
        <w:gridCol w:w="239"/>
        <w:gridCol w:w="93"/>
        <w:gridCol w:w="1299"/>
        <w:gridCol w:w="2046"/>
        <w:gridCol w:w="69"/>
        <w:gridCol w:w="672"/>
        <w:gridCol w:w="1215"/>
        <w:gridCol w:w="308"/>
        <w:gridCol w:w="1993"/>
        <w:gridCol w:w="112"/>
        <w:gridCol w:w="532"/>
        <w:gridCol w:w="1216"/>
        <w:gridCol w:w="358"/>
        <w:gridCol w:w="2106"/>
        <w:gridCol w:w="1714"/>
        <w:gridCol w:w="392"/>
        <w:gridCol w:w="254"/>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沅江市烈士陵园服务中心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0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17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73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48.35</w:t>
            </w:r>
          </w:p>
        </w:tc>
        <w:tc>
          <w:tcPr>
            <w:tcW w:w="12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73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9.96</w:t>
            </w:r>
          </w:p>
        </w:tc>
        <w:tc>
          <w:tcPr>
            <w:tcW w:w="12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73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11.75</w:t>
            </w:r>
          </w:p>
        </w:tc>
        <w:tc>
          <w:tcPr>
            <w:tcW w:w="12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73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2.94</w:t>
            </w:r>
          </w:p>
        </w:tc>
        <w:tc>
          <w:tcPr>
            <w:tcW w:w="12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73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1.98</w:t>
            </w:r>
          </w:p>
        </w:tc>
        <w:tc>
          <w:tcPr>
            <w:tcW w:w="12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73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10.38</w:t>
            </w:r>
          </w:p>
        </w:tc>
        <w:tc>
          <w:tcPr>
            <w:tcW w:w="12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73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2.27</w:t>
            </w:r>
          </w:p>
        </w:tc>
        <w:tc>
          <w:tcPr>
            <w:tcW w:w="12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73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0.28</w:t>
            </w:r>
          </w:p>
        </w:tc>
        <w:tc>
          <w:tcPr>
            <w:tcW w:w="12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73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3.01</w:t>
            </w:r>
          </w:p>
        </w:tc>
        <w:tc>
          <w:tcPr>
            <w:tcW w:w="12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73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c>
          <w:tcPr>
            <w:tcW w:w="12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73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0.70</w:t>
            </w:r>
          </w:p>
        </w:tc>
        <w:tc>
          <w:tcPr>
            <w:tcW w:w="12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73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2.82</w:t>
            </w:r>
          </w:p>
        </w:tc>
        <w:tc>
          <w:tcPr>
            <w:tcW w:w="12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73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c>
          <w:tcPr>
            <w:tcW w:w="12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73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2.26</w:t>
            </w:r>
          </w:p>
        </w:tc>
        <w:tc>
          <w:tcPr>
            <w:tcW w:w="12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73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c>
          <w:tcPr>
            <w:tcW w:w="12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73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c>
          <w:tcPr>
            <w:tcW w:w="12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73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c>
          <w:tcPr>
            <w:tcW w:w="12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73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c>
          <w:tcPr>
            <w:tcW w:w="12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73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c>
          <w:tcPr>
            <w:tcW w:w="12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73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c>
          <w:tcPr>
            <w:tcW w:w="12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73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c>
          <w:tcPr>
            <w:tcW w:w="12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73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c>
          <w:tcPr>
            <w:tcW w:w="12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73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c>
          <w:tcPr>
            <w:tcW w:w="12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73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c>
          <w:tcPr>
            <w:tcW w:w="12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73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c>
          <w:tcPr>
            <w:tcW w:w="12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73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c>
          <w:tcPr>
            <w:tcW w:w="12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73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c>
          <w:tcPr>
            <w:tcW w:w="12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bookmarkStart w:id="3" w:name="_GoBack"/>
            <w:bookmarkEnd w:id="3"/>
          </w:p>
        </w:tc>
      </w:tr>
      <w:tr>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3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1"/>
                <w:szCs w:val="21"/>
              </w:rPr>
            </w:pPr>
          </w:p>
        </w:tc>
        <w:tc>
          <w:tcPr>
            <w:tcW w:w="12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67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73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48.35</w:t>
            </w:r>
          </w:p>
        </w:tc>
        <w:tc>
          <w:tcPr>
            <w:tcW w:w="9554"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6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0</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997"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93"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5"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92"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5"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6"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6"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4745" w:type="dxa"/>
            <w:gridSpan w:val="6"/>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部门：沅江市烈士陵园服务中心</w:t>
            </w:r>
          </w:p>
        </w:tc>
        <w:tc>
          <w:tcPr>
            <w:tcW w:w="2192"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5"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6"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6"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3"/>
                <w:lang w:val="en-US" w:eastAsia="zh-CN" w:bidi="ar"/>
              </w:rPr>
              <w:t xml:space="preserve">   </w:t>
            </w:r>
            <w:r>
              <w:rPr>
                <w:rStyle w:val="14"/>
                <w:lang w:val="en-US" w:eastAsia="zh-CN" w:bidi="ar"/>
              </w:rPr>
              <w:t>目</w:t>
            </w:r>
          </w:p>
        </w:tc>
        <w:tc>
          <w:tcPr>
            <w:tcW w:w="21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0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6"/>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627"/>
        <w:gridCol w:w="2010"/>
        <w:gridCol w:w="2875"/>
        <w:gridCol w:w="2875"/>
        <w:gridCol w:w="3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部门：沅江市烈士陵园服务中心</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5"/>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6"/>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1169"/>
        <w:gridCol w:w="1066"/>
        <w:gridCol w:w="1066"/>
        <w:gridCol w:w="1066"/>
        <w:gridCol w:w="1066"/>
        <w:gridCol w:w="1066"/>
        <w:gridCol w:w="1170"/>
        <w:gridCol w:w="1066"/>
        <w:gridCol w:w="1066"/>
        <w:gridCol w:w="1066"/>
        <w:gridCol w:w="1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部门：沅江市烈士陵园服务中心</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说明：本表无数据。</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0"/>
        <w:rPr>
          <w:sz w:val="72"/>
          <w:szCs w:val="72"/>
        </w:rPr>
      </w:pPr>
    </w:p>
    <w:p>
      <w:pPr>
        <w:pStyle w:val="10"/>
        <w:rPr>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0"/>
        <w:jc w:val="center"/>
        <w:rPr>
          <w:rFonts w:hint="eastAsia" w:ascii="方正小标宋_GBK" w:hAnsi="方正小标宋_GBK" w:eastAsia="方正小标宋_GBK" w:cs="方正小标宋_GBK"/>
          <w:sz w:val="70"/>
          <w:szCs w:val="70"/>
        </w:rPr>
      </w:pPr>
    </w:p>
    <w:p>
      <w:pPr>
        <w:pStyle w:val="10"/>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636.52</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31.95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上年结转结余。</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636.52</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48.35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588.18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93</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636.52</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636.52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0"/>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48.35</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384.79</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88</w:t>
      </w:r>
      <w:r>
        <w:rPr>
          <w:rFonts w:hint="eastAsia" w:ascii="Times New Roman" w:hAnsi="Times New Roman" w:eastAsia="仿宋_GB2312"/>
          <w:sz w:val="32"/>
          <w:szCs w:val="32"/>
        </w:rPr>
        <w:t>%，主要是</w:t>
      </w:r>
      <w:r>
        <w:rPr>
          <w:rFonts w:hint="eastAsia" w:ascii="Times New Roman" w:hAnsi="Times New Roman" w:eastAsia="仿宋_GB2312"/>
          <w:sz w:val="32"/>
          <w:szCs w:val="32"/>
          <w:lang w:eastAsia="zh-CN"/>
        </w:rPr>
        <w:t>因为财政拨款减少。</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48.35</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384.79</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88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财政拨款减少。</w:t>
      </w:r>
    </w:p>
    <w:p>
      <w:pPr>
        <w:pStyle w:val="10"/>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48.35</w:t>
      </w:r>
      <w:r>
        <w:rPr>
          <w:rFonts w:hint="eastAsia" w:ascii="Times New Roman" w:hAnsi="Times New Roman" w:eastAsia="仿宋_GB2312"/>
          <w:sz w:val="32"/>
          <w:szCs w:val="32"/>
        </w:rPr>
        <w:t>万元，主要用于以下方面：类</w:t>
      </w:r>
      <w:r>
        <w:rPr>
          <w:rFonts w:hint="eastAsia" w:ascii="Times New Roman" w:hAnsi="Times New Roman" w:eastAsia="仿宋_GB2312"/>
          <w:sz w:val="32"/>
          <w:szCs w:val="32"/>
          <w:lang w:eastAsia="zh-CN"/>
        </w:rPr>
        <w:t>社会保障和就业</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45.52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住房保障</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2.82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378.65</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48.35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12.76</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社会保障和就业（类）民政管理事务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行政运行</w:t>
      </w:r>
      <w:r>
        <w:rPr>
          <w:rFonts w:hint="eastAsia"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320" w:firstLineChars="10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375.47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45.52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12.12</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非税减少。</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eastAsia="zh-CN"/>
        </w:rPr>
        <w:t>住房保障支出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住房改革支出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住房公积金</w:t>
      </w:r>
      <w:r>
        <w:rPr>
          <w:rFonts w:hint="eastAsia"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3.18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2.82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88.67</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财政拨款减少。</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48.35</w:t>
      </w:r>
      <w:r>
        <w:rPr>
          <w:rFonts w:hint="eastAsia" w:ascii="Times New Roman" w:hAnsi="Times New Roman" w:eastAsia="仿宋_GB2312"/>
          <w:sz w:val="32"/>
          <w:szCs w:val="32"/>
        </w:rPr>
        <w:t>万元，其中：</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48.35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%，主要包括办公费、印刷费、咨询费、手续费。</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同</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eastAsia="zh-CN"/>
        </w:rPr>
        <w:t>节约开支。</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同</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eastAsia="zh-CN"/>
        </w:rPr>
        <w:t>节约开支。</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同</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eastAsia="zh-CN"/>
        </w:rPr>
        <w:t>节约开支。</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同</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eastAsia="zh-CN"/>
        </w:rPr>
        <w:t>节约开支。</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沅江市烈士陵园服务中心</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万元，上年决算数增加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节约开支</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仿宋_GB2312"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330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120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110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330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2"/>
        <w:keepNext/>
        <w:keepLines/>
        <w:pageBreakBefore w:val="0"/>
        <w:widowControl w:val="0"/>
        <w:kinsoku/>
        <w:wordWrap/>
        <w:overflowPunct/>
        <w:topLinePunct w:val="0"/>
        <w:autoSpaceDE/>
        <w:autoSpaceDN/>
        <w:bidi w:val="0"/>
        <w:adjustRightInd/>
        <w:snapToGrid/>
        <w:spacing w:before="0" w:after="0" w:line="600" w:lineRule="atLeas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cs="黑体"/>
          <w:b w:val="0"/>
          <w:bCs w:val="0"/>
          <w:color w:val="000000"/>
          <w:kern w:val="0"/>
          <w:sz w:val="32"/>
          <w:szCs w:val="32"/>
          <w:lang w:val="en-US" w:eastAsia="zh-CN" w:bidi="ar-SA"/>
        </w:rPr>
        <w:t>项目管理方面的问题：</w:t>
      </w:r>
      <w:r>
        <w:rPr>
          <w:rFonts w:hint="default" w:ascii="Times New Roman" w:hAnsi="Times New Roman" w:eastAsia="仿宋_GB2312" w:cs="黑体"/>
          <w:b w:val="0"/>
          <w:bCs w:val="0"/>
          <w:color w:val="000000"/>
          <w:kern w:val="0"/>
          <w:sz w:val="32"/>
          <w:szCs w:val="32"/>
          <w:lang w:val="en-US" w:eastAsia="zh-CN" w:bidi="ar-SA"/>
        </w:rPr>
        <w:t>为了确保项目顺利实施</w:t>
      </w:r>
      <w:r>
        <w:rPr>
          <w:rFonts w:hint="eastAsia" w:ascii="Times New Roman" w:hAnsi="Times New Roman" w:eastAsia="仿宋_GB2312" w:cs="黑体"/>
          <w:b w:val="0"/>
          <w:bCs w:val="0"/>
          <w:color w:val="000000"/>
          <w:kern w:val="0"/>
          <w:sz w:val="32"/>
          <w:szCs w:val="32"/>
          <w:lang w:val="en-US" w:eastAsia="zh-CN" w:bidi="ar-SA"/>
        </w:rPr>
        <w:t>,</w:t>
      </w:r>
      <w:r>
        <w:rPr>
          <w:rFonts w:hint="default" w:ascii="Times New Roman" w:hAnsi="Times New Roman" w:eastAsia="仿宋_GB2312" w:cs="黑体"/>
          <w:b w:val="0"/>
          <w:bCs w:val="0"/>
          <w:color w:val="000000"/>
          <w:kern w:val="0"/>
          <w:sz w:val="32"/>
          <w:szCs w:val="32"/>
          <w:lang w:val="en-US" w:eastAsia="zh-CN" w:bidi="ar-SA"/>
        </w:rPr>
        <w:t>确保在规定的时间内按合同条款完成项目工程</w:t>
      </w:r>
      <w:r>
        <w:rPr>
          <w:rFonts w:hint="eastAsia" w:ascii="Times New Roman" w:hAnsi="Times New Roman" w:eastAsia="仿宋_GB2312" w:cs="黑体"/>
          <w:b w:val="0"/>
          <w:bCs w:val="0"/>
          <w:color w:val="000000"/>
          <w:kern w:val="0"/>
          <w:sz w:val="32"/>
          <w:szCs w:val="32"/>
          <w:lang w:val="en-US" w:eastAsia="zh-CN" w:bidi="ar-SA"/>
        </w:rPr>
        <w:t>,按上级项目管理制度执行</w:t>
      </w:r>
      <w:r>
        <w:rPr>
          <w:rFonts w:hint="default" w:ascii="Times New Roman" w:hAnsi="Times New Roman" w:eastAsia="仿宋_GB2312" w:cs="黑体"/>
          <w:b w:val="0"/>
          <w:bCs w:val="0"/>
          <w:color w:val="000000"/>
          <w:kern w:val="0"/>
          <w:sz w:val="32"/>
          <w:szCs w:val="32"/>
          <w:lang w:val="en-US" w:eastAsia="zh-CN" w:bidi="ar-SA"/>
        </w:rPr>
        <w:t>本制度。项目实施严格执行公告制、</w:t>
      </w:r>
      <w:r>
        <w:rPr>
          <w:rFonts w:hint="eastAsia" w:ascii="Times New Roman" w:hAnsi="Times New Roman" w:eastAsia="仿宋_GB2312" w:cs="黑体"/>
          <w:b w:val="0"/>
          <w:bCs w:val="0"/>
          <w:color w:val="000000"/>
          <w:kern w:val="0"/>
          <w:sz w:val="32"/>
          <w:szCs w:val="32"/>
          <w:lang w:val="en-US" w:eastAsia="zh-CN" w:bidi="ar-SA"/>
        </w:rPr>
        <w:t>项目申报制、</w:t>
      </w:r>
      <w:r>
        <w:rPr>
          <w:rFonts w:hint="default" w:ascii="Times New Roman" w:hAnsi="Times New Roman" w:eastAsia="仿宋_GB2312" w:cs="黑体"/>
          <w:b w:val="0"/>
          <w:bCs w:val="0"/>
          <w:color w:val="000000"/>
          <w:kern w:val="0"/>
          <w:sz w:val="32"/>
          <w:szCs w:val="32"/>
          <w:lang w:val="en-US" w:eastAsia="zh-CN" w:bidi="ar-SA"/>
        </w:rPr>
        <w:t>工程招标制、</w:t>
      </w:r>
      <w:r>
        <w:rPr>
          <w:rFonts w:hint="eastAsia" w:ascii="Times New Roman" w:hAnsi="Times New Roman" w:eastAsia="仿宋_GB2312" w:cs="黑体"/>
          <w:b w:val="0"/>
          <w:bCs w:val="0"/>
          <w:color w:val="000000"/>
          <w:kern w:val="0"/>
          <w:sz w:val="32"/>
          <w:szCs w:val="32"/>
          <w:lang w:val="en-US" w:eastAsia="zh-CN" w:bidi="ar-SA"/>
        </w:rPr>
        <w:t>项目评审制、项目审批</w:t>
      </w:r>
      <w:r>
        <w:rPr>
          <w:rFonts w:hint="default" w:ascii="Times New Roman" w:hAnsi="Times New Roman" w:eastAsia="仿宋_GB2312" w:cs="黑体"/>
          <w:b w:val="0"/>
          <w:bCs w:val="0"/>
          <w:color w:val="000000"/>
          <w:kern w:val="0"/>
          <w:sz w:val="32"/>
          <w:szCs w:val="32"/>
          <w:lang w:val="en-US" w:eastAsia="zh-CN" w:bidi="ar-SA"/>
        </w:rPr>
        <w:t>制</w:t>
      </w:r>
      <w:r>
        <w:rPr>
          <w:rFonts w:hint="eastAsia" w:ascii="Times New Roman" w:hAnsi="Times New Roman" w:eastAsia="仿宋_GB2312" w:cs="黑体"/>
          <w:b w:val="0"/>
          <w:bCs w:val="0"/>
          <w:color w:val="000000"/>
          <w:kern w:val="0"/>
          <w:sz w:val="32"/>
          <w:szCs w:val="32"/>
          <w:lang w:val="en-US" w:eastAsia="zh-CN" w:bidi="ar-SA"/>
        </w:rPr>
        <w:t>、项目实施</w:t>
      </w:r>
      <w:r>
        <w:rPr>
          <w:rFonts w:hint="default" w:ascii="Times New Roman" w:hAnsi="Times New Roman" w:eastAsia="仿宋_GB2312" w:cs="黑体"/>
          <w:b w:val="0"/>
          <w:bCs w:val="0"/>
          <w:color w:val="000000"/>
          <w:kern w:val="0"/>
          <w:sz w:val="32"/>
          <w:szCs w:val="32"/>
          <w:lang w:val="en-US" w:eastAsia="zh-CN" w:bidi="ar-SA"/>
        </w:rPr>
        <w:t>制</w:t>
      </w:r>
      <w:r>
        <w:rPr>
          <w:rFonts w:hint="eastAsia" w:ascii="Times New Roman" w:hAnsi="Times New Roman" w:eastAsia="仿宋_GB2312" w:cs="黑体"/>
          <w:b w:val="0"/>
          <w:bCs w:val="0"/>
          <w:color w:val="000000"/>
          <w:kern w:val="0"/>
          <w:sz w:val="32"/>
          <w:szCs w:val="32"/>
          <w:lang w:val="en-US" w:eastAsia="zh-CN" w:bidi="ar-SA"/>
        </w:rPr>
        <w:t>、项目验收</w:t>
      </w:r>
      <w:r>
        <w:rPr>
          <w:rFonts w:hint="default" w:ascii="Times New Roman" w:hAnsi="Times New Roman" w:eastAsia="仿宋_GB2312" w:cs="黑体"/>
          <w:b w:val="0"/>
          <w:bCs w:val="0"/>
          <w:color w:val="000000"/>
          <w:kern w:val="0"/>
          <w:sz w:val="32"/>
          <w:szCs w:val="32"/>
          <w:lang w:val="en-US" w:eastAsia="zh-CN" w:bidi="ar-SA"/>
        </w:rPr>
        <w:t>制</w:t>
      </w:r>
      <w:r>
        <w:rPr>
          <w:rFonts w:hint="eastAsia" w:ascii="Times New Roman" w:hAnsi="Times New Roman" w:eastAsia="仿宋_GB2312" w:cs="黑体"/>
          <w:b w:val="0"/>
          <w:bCs w:val="0"/>
          <w:color w:val="000000"/>
          <w:kern w:val="0"/>
          <w:sz w:val="32"/>
          <w:szCs w:val="32"/>
          <w:lang w:val="en-US" w:eastAsia="zh-CN" w:bidi="ar-SA"/>
        </w:rPr>
        <w:t>、</w:t>
      </w:r>
      <w:r>
        <w:rPr>
          <w:rFonts w:hint="default" w:ascii="Times New Roman" w:hAnsi="Times New Roman" w:eastAsia="仿宋_GB2312" w:cs="黑体"/>
          <w:b w:val="0"/>
          <w:bCs w:val="0"/>
          <w:color w:val="000000"/>
          <w:kern w:val="0"/>
          <w:sz w:val="32"/>
          <w:szCs w:val="32"/>
          <w:lang w:val="en-US" w:eastAsia="zh-CN" w:bidi="ar-SA"/>
        </w:rPr>
        <w:t>工程监理制、审计制</w:t>
      </w:r>
      <w:r>
        <w:rPr>
          <w:rFonts w:hint="eastAsia" w:ascii="Times New Roman" w:hAnsi="Times New Roman" w:eastAsia="仿宋_GB2312" w:cs="黑体"/>
          <w:b w:val="0"/>
          <w:bCs w:val="0"/>
          <w:color w:val="000000"/>
          <w:kern w:val="0"/>
          <w:sz w:val="32"/>
          <w:szCs w:val="32"/>
          <w:lang w:val="en-US" w:eastAsia="zh-CN" w:bidi="ar-SA"/>
        </w:rPr>
        <w:t>，</w:t>
      </w:r>
      <w:r>
        <w:rPr>
          <w:rFonts w:hint="default" w:ascii="Times New Roman" w:hAnsi="Times New Roman" w:eastAsia="仿宋_GB2312" w:cs="黑体"/>
          <w:b w:val="0"/>
          <w:bCs w:val="0"/>
          <w:color w:val="000000"/>
          <w:kern w:val="0"/>
          <w:sz w:val="32"/>
          <w:szCs w:val="32"/>
          <w:lang w:val="en-US" w:eastAsia="zh-CN" w:bidi="ar-SA"/>
        </w:rPr>
        <w:t>同时建立项目领导人和项目管理责任人制</w:t>
      </w:r>
      <w:r>
        <w:rPr>
          <w:rFonts w:hint="eastAsia" w:ascii="Times New Roman" w:hAnsi="Times New Roman" w:eastAsia="仿宋_GB2312" w:cs="黑体"/>
          <w:b w:val="0"/>
          <w:bCs w:val="0"/>
          <w:color w:val="000000"/>
          <w:kern w:val="0"/>
          <w:sz w:val="32"/>
          <w:szCs w:val="32"/>
          <w:lang w:val="en-US" w:eastAsia="zh-CN" w:bidi="ar-SA"/>
        </w:rPr>
        <w:t>度。</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sz w:val="72"/>
          <w:szCs w:val="72"/>
        </w:rPr>
      </w:pPr>
      <w:r>
        <w:rPr>
          <w:rFonts w:hint="eastAsia" w:ascii="Times New Roman" w:hAnsi="Times New Roman" w:eastAsia="仿宋_GB2312" w:cs="Times New Roman"/>
          <w:kern w:val="2"/>
          <w:sz w:val="32"/>
          <w:szCs w:val="32"/>
          <w:lang w:val="en-US" w:eastAsia="zh-CN" w:bidi="ar-SA"/>
        </w:rPr>
        <w:t>提升绩效管理意识：强调项目开展落实到资料审核与现场勘查两项重要环节，采取不定期检查和定期考核的方式对项目实施质量进行过程把控，确保项目绩效目标的完成。</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sz w:val="72"/>
          <w:szCs w:val="7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DdhYTcwOGUwMWU0MThjYzYzYzc1N2I1MmU5NDA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67F3B00"/>
    <w:rsid w:val="113B0AC6"/>
    <w:rsid w:val="13B148CC"/>
    <w:rsid w:val="15886D53"/>
    <w:rsid w:val="169716D2"/>
    <w:rsid w:val="197E470C"/>
    <w:rsid w:val="1FF07916"/>
    <w:rsid w:val="2E7A11E9"/>
    <w:rsid w:val="39F66521"/>
    <w:rsid w:val="3AF64C66"/>
    <w:rsid w:val="3F9D61EE"/>
    <w:rsid w:val="477E7F33"/>
    <w:rsid w:val="4D8D2A9B"/>
    <w:rsid w:val="53F87A3F"/>
    <w:rsid w:val="5777D4F5"/>
    <w:rsid w:val="5FC6BB1E"/>
    <w:rsid w:val="5FF720F1"/>
    <w:rsid w:val="61354081"/>
    <w:rsid w:val="66667B28"/>
    <w:rsid w:val="6E0078E0"/>
    <w:rsid w:val="737D59BA"/>
    <w:rsid w:val="77C37683"/>
    <w:rsid w:val="79FF515B"/>
    <w:rsid w:val="7B5F1FCE"/>
    <w:rsid w:val="7E9F11B4"/>
    <w:rsid w:val="7FC69637"/>
    <w:rsid w:val="7FFDB408"/>
    <w:rsid w:val="97655F9A"/>
    <w:rsid w:val="CBFF70E0"/>
    <w:rsid w:val="DAEF182F"/>
    <w:rsid w:val="EEABED75"/>
    <w:rsid w:val="FB36E1A6"/>
    <w:rsid w:val="FF9B4958"/>
    <w:rsid w:val="FFCFF3FD"/>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rFonts w:ascii="Calibri" w:hAnsi="Calibri" w:cs="Calibr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font21"/>
    <w:basedOn w:val="7"/>
    <w:qFormat/>
    <w:uiPriority w:val="0"/>
    <w:rPr>
      <w:rFonts w:hint="eastAsia" w:ascii="宋体" w:hAnsi="宋体" w:eastAsia="宋体" w:cs="宋体"/>
      <w:color w:val="000000"/>
      <w:sz w:val="24"/>
      <w:szCs w:val="24"/>
      <w:u w:val="none"/>
    </w:rPr>
  </w:style>
  <w:style w:type="character" w:customStyle="1" w:styleId="15">
    <w:name w:val="font11"/>
    <w:basedOn w:val="7"/>
    <w:qFormat/>
    <w:uiPriority w:val="0"/>
    <w:rPr>
      <w:rFonts w:hint="eastAsia" w:ascii="宋体" w:hAnsi="宋体" w:eastAsia="宋体" w:cs="宋体"/>
      <w:color w:val="000000"/>
      <w:sz w:val="24"/>
      <w:szCs w:val="24"/>
      <w:u w:val="none"/>
    </w:rPr>
  </w:style>
  <w:style w:type="paragraph" w:customStyle="1" w:styleId="16">
    <w:name w:val="列出段落1"/>
    <w:basedOn w:val="1"/>
    <w:qFormat/>
    <w:uiPriority w:val="0"/>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6</TotalTime>
  <ScaleCrop>false</ScaleCrop>
  <LinksUpToDate>false</LinksUpToDate>
  <CharactersWithSpaces>9008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2020-07-05T10:32:00Z</dcterms:created>
  <dc:creator>李航 null</dc:creator>
  <cp:lastModifiedBy>Anna</cp:lastModifiedBy>
  <cp:lastPrinted>2023-08-16T01:28:00Z</cp:lastPrinted>
  <dcterms:modified xsi:type="dcterms:W3CDTF">2023-10-23T02:51:46Z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2E63A3EB89F3486A23DC3165DEC72FCF</vt:lpwstr>
  </property>
</Properties>
</file>