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w:t>
      </w:r>
      <w:r>
        <w:rPr>
          <w:rFonts w:hint="eastAsia"/>
          <w:sz w:val="84"/>
          <w:szCs w:val="84"/>
          <w:lang w:val="en-US" w:eastAsia="zh-CN"/>
        </w:rPr>
        <w:t>2</w:t>
      </w:r>
      <w:r>
        <w:rPr>
          <w:rFonts w:hint="eastAsia"/>
          <w:sz w:val="84"/>
          <w:szCs w:val="84"/>
        </w:rPr>
        <w:t>年度</w:t>
      </w:r>
    </w:p>
    <w:p>
      <w:pPr>
        <w:pStyle w:val="11"/>
        <w:jc w:val="center"/>
        <w:rPr>
          <w:sz w:val="84"/>
          <w:szCs w:val="84"/>
        </w:rPr>
      </w:pPr>
      <w:r>
        <w:rPr>
          <w:rFonts w:hint="eastAsia"/>
          <w:sz w:val="84"/>
          <w:szCs w:val="84"/>
          <w:lang w:eastAsia="zh-CN"/>
        </w:rPr>
        <w:t>沅江市民政局本级</w:t>
      </w: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沅江市民政局本级</w:t>
      </w:r>
      <w:r>
        <w:rPr>
          <w:rFonts w:hint="eastAsia" w:ascii="黑体" w:hAnsi="黑体" w:eastAsia="黑体" w:cs="黑体"/>
          <w:b w:val="0"/>
          <w:bCs/>
          <w:sz w:val="28"/>
          <w:szCs w:val="28"/>
        </w:rPr>
        <w:t>概况</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rPr>
          <w:sz w:val="84"/>
          <w:szCs w:val="84"/>
        </w:rPr>
      </w:pPr>
      <w:r>
        <w:rPr>
          <w:rFonts w:hint="eastAsia"/>
          <w:sz w:val="84"/>
          <w:szCs w:val="84"/>
          <w:lang w:eastAsia="zh-CN"/>
        </w:rPr>
        <w:t>沅江市民政局本级</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仿宋" w:hAnsi="仿宋" w:eastAsia="仿宋"/>
          <w:sz w:val="32"/>
        </w:rPr>
        <w:t>（</w:t>
      </w:r>
      <w:r>
        <w:rPr>
          <w:rFonts w:hint="eastAsia" w:ascii="仿宋" w:hAnsi="仿宋" w:eastAsia="仿宋"/>
          <w:sz w:val="32"/>
          <w:lang w:val="en-US" w:eastAsia="zh-CN"/>
        </w:rPr>
        <w:t>1</w:t>
      </w:r>
      <w:r>
        <w:rPr>
          <w:rFonts w:hint="eastAsia" w:ascii="仿宋" w:hAnsi="仿宋" w:eastAsia="仿宋"/>
          <w:sz w:val="32"/>
        </w:rPr>
        <w:t>）</w:t>
      </w:r>
      <w:r>
        <w:rPr>
          <w:rFonts w:hint="eastAsia" w:ascii="Times New Roman" w:hAnsi="Times New Roman" w:eastAsia="仿宋_GB2312" w:cs="Times New Roman"/>
          <w:sz w:val="32"/>
          <w:szCs w:val="32"/>
        </w:rPr>
        <w:t>贯彻执行关于民政工作的法律法规和方针政策，拟订全市民政事业发展规划和政策并组织实施和监督检查。</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）依法对全市社会团体、基金会、社会服务机构等社会组织进行登记管理和执法监督。</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）拟订全市社会救助规划、制度和标准，负责城乡居民低收入家庭认定、最低生活保障、特困人员救助供养、临时救助、生活无着流浪乞讨人员救助工作。</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）拟订全市城乡基层群众自治建设和社区治理政策，指导城乡社区治理体系和治理能力建设，提出加强和改进城乡基层政权建设的建议，推动基层民主政治建设。</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）拟订全市行政区划总体规划、地名管理办法并组织实施；组织指导行政区域界线的勘定和管理工作；负责全市法定行政区域界线争议的调查和调处工作；负责地名管理工作。</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）贯彻实施有关婚姻管理的法规和政策，推进婚俗改革。</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）贯彻实施殡葬管理政策、拟订服务规范并组织实施，推进殡葬改革。</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）统筹推进、督促指导、监督管理全市养老服务工作，拟订养老服务体系建设规划、政策、标准并组织实施，承担老年人福利和特殊困难老年人救助工作。</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）贯彻实施有关残疾人权益保护的法律法规和政策，统筹推进残疾人福利制度建设和康复辅助器具产业发展。</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）贯彻实施有关儿童福利、孤弃儿童保障、儿童收养、儿童救助保护的政策、标准，健全农村留守儿童关爱服务体系和困境儿童保障制度。</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）拟订促进全市慈善事业发展的政策并组织实施，组织、指导社会捐助工作，负责全市福利彩票发行管理工作。</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）拟订全市社会工作、志愿服务的政策和标准，会同有关部门推进社会工作人才队伍建设和志愿者队伍建设。</w:t>
      </w:r>
    </w:p>
    <w:p>
      <w:pPr>
        <w:keepNext w:val="0"/>
        <w:keepLines w:val="0"/>
        <w:pageBreakBefore w:val="0"/>
        <w:kinsoku/>
        <w:wordWrap/>
        <w:overflowPunct/>
        <w:topLinePunct w:val="0"/>
        <w:autoSpaceDE/>
        <w:autoSpaceDN/>
        <w:bidi w:val="0"/>
        <w:adjustRightInd/>
        <w:snapToGrid/>
        <w:spacing w:line="600" w:lineRule="atLeast"/>
        <w:ind w:firstLine="627" w:firstLineChars="196"/>
        <w:textAlignment w:val="auto"/>
        <w:rPr>
          <w:rFonts w:hint="eastAsia" w:ascii="仿宋" w:hAnsi="仿宋" w:eastAsia="仿宋"/>
          <w:sz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）完成市委、市政府交办的其他任务</w:t>
      </w:r>
      <w:r>
        <w:rPr>
          <w:rFonts w:hint="eastAsia" w:ascii="仿宋" w:hAnsi="仿宋" w:eastAsia="仿宋"/>
          <w:sz w:val="32"/>
        </w:rPr>
        <w:t>。</w:t>
      </w:r>
    </w:p>
    <w:p>
      <w:pPr>
        <w:pStyle w:val="12"/>
        <w:numPr>
          <w:ilvl w:val="0"/>
          <w:numId w:val="0"/>
        </w:numPr>
        <w:ind w:leftChars="0" w:firstLine="640" w:firstLineChars="200"/>
        <w:jc w:val="left"/>
        <w:rPr>
          <w:rFonts w:hint="default" w:ascii="黑体" w:hAnsi="黑体" w:eastAsia="黑体"/>
          <w:sz w:val="32"/>
          <w:szCs w:val="32"/>
          <w:lang w:val="en-US" w:eastAsia="zh-CN"/>
        </w:rPr>
      </w:pPr>
      <w:r>
        <w:rPr>
          <w:rFonts w:hint="eastAsia" w:ascii="仿宋" w:hAnsi="仿宋" w:eastAsia="仿宋"/>
          <w:sz w:val="32"/>
        </w:rPr>
        <w:t>（</w:t>
      </w:r>
      <w:r>
        <w:rPr>
          <w:rFonts w:hint="eastAsia" w:ascii="仿宋" w:hAnsi="仿宋" w:eastAsia="仿宋"/>
          <w:sz w:val="32"/>
          <w:lang w:val="en-US" w:eastAsia="zh-CN"/>
        </w:rPr>
        <w:t>14</w:t>
      </w:r>
      <w:r>
        <w:rPr>
          <w:rFonts w:hint="eastAsia" w:ascii="仿宋" w:hAnsi="仿宋" w:eastAsia="仿宋"/>
          <w:sz w:val="32"/>
        </w:rPr>
        <w:t>）</w:t>
      </w:r>
      <w:r>
        <w:rPr>
          <w:rFonts w:hint="eastAsia" w:ascii="Times New Roman" w:hAnsi="Times New Roman" w:eastAsia="仿宋_GB2312" w:cs="Times New Roman"/>
          <w:sz w:val="32"/>
          <w:szCs w:val="32"/>
        </w:rPr>
        <w:t>职能转变。强化基本民生保障职能，为全市困难群众、孤老孤残孤儿等特殊群体提供基本社会服务，促进资源向薄弱地区、领域、环节倾斜。积极培育社会组织、社会工作者等多元参与主体，推动搭建全市基层社会治理和社区公共服务平台</w:t>
      </w:r>
      <w:r>
        <w:rPr>
          <w:rFonts w:hint="eastAsia" w:ascii="仿宋" w:hAnsi="仿宋" w:eastAsia="仿宋"/>
          <w:sz w:val="32"/>
        </w:rPr>
        <w:t>。</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rPr>
          <w:rFonts w:hint="eastAsia" w:ascii="Times New Roman" w:hAnsi="Times New Roman" w:eastAsia="仿宋_GB2312" w:cs="Times New Roman"/>
          <w:kern w:val="2"/>
          <w:sz w:val="32"/>
          <w:szCs w:val="32"/>
          <w:lang w:val="en-US" w:eastAsia="zh-CN" w:bidi="ar-SA"/>
        </w:rPr>
      </w:pPr>
      <w:r>
        <w:rPr>
          <w:rFonts w:hint="eastAsia" w:asciiTheme="minorEastAsia" w:hAnsiTheme="minorEastAsia"/>
          <w:bCs/>
          <w:kern w:val="0"/>
          <w:sz w:val="32"/>
          <w:szCs w:val="32"/>
        </w:rPr>
        <w:t>（一）</w:t>
      </w:r>
      <w:r>
        <w:rPr>
          <w:rFonts w:hint="eastAsia" w:ascii="Times New Roman" w:hAnsi="Times New Roman" w:eastAsia="仿宋_GB2312" w:cs="Times New Roman"/>
          <w:kern w:val="2"/>
          <w:sz w:val="32"/>
          <w:szCs w:val="32"/>
          <w:lang w:val="en-US" w:eastAsia="zh-CN" w:bidi="ar-SA"/>
        </w:rPr>
        <w:t>内设机构设置。沅江市民政局内设机构包括：办公室、人事股、规划财务股、社会组织管理股、社会救助管理股、基层政权建设和社区治理股、慈善事业促进和社会工作股、养老服务和社会事务股（含中共沅江市社会组织综合委员会）</w:t>
      </w:r>
    </w:p>
    <w:p>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（二）</w:t>
      </w:r>
      <w:r>
        <w:rPr>
          <w:rFonts w:hint="eastAsia" w:ascii="Times New Roman" w:hAnsi="Times New Roman" w:eastAsia="仿宋_GB2312" w:cs="Times New Roman"/>
          <w:kern w:val="2"/>
          <w:sz w:val="32"/>
          <w:szCs w:val="32"/>
          <w:lang w:val="en-US" w:eastAsia="zh-CN" w:bidi="ar-SA"/>
        </w:rPr>
        <w:t>决算单位构成。沅江市民政局2022年部门决算公开单位构成包括：沅江市民政局本级以及沅江市殡仪馆、沅江市婚姻登记服务中心、沅江市福利彩票发行中心、沅江市社会福利院、沅江市社会福利中心、沅江市流浪救助乞讨人员救助站、沅江市烈士陵园服务中心。</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tbl>
      <w:tblPr>
        <w:tblStyle w:val="7"/>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val="en-US" w:eastAsia="zh-CN"/>
              </w:rPr>
              <w:t>:</w:t>
            </w:r>
            <w:r>
              <w:rPr>
                <w:rFonts w:hint="eastAsia" w:ascii="宋体" w:hAnsi="宋体" w:eastAsia="宋体" w:cs="宋体"/>
                <w:i w:val="0"/>
                <w:iCs w:val="0"/>
                <w:color w:val="000000"/>
                <w:kern w:val="0"/>
                <w:sz w:val="20"/>
                <w:szCs w:val="20"/>
                <w:u w:val="none"/>
                <w:lang w:val="en-US" w:eastAsia="zh-CN" w:bidi="ar"/>
              </w:rPr>
              <w:t>沅江市民政局(本级)</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2743.4</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kern w:val="0"/>
                <w:sz w:val="22"/>
                <w:lang w:val="en-US" w:eastAsia="zh-CN"/>
              </w:rPr>
              <w:t>268.85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482.93</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kern w:val="0"/>
                <w:sz w:val="22"/>
                <w:lang w:val="en-US" w:eastAsia="zh-CN"/>
              </w:rPr>
              <w:t>0.5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2"/>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422.93</w:t>
            </w: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3004.51</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25.75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二十三、其他支出　</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bCs/>
                <w:kern w:val="0"/>
                <w:sz w:val="22"/>
                <w:lang w:val="en-US"/>
              </w:rPr>
            </w:pPr>
            <w:r>
              <w:rPr>
                <w:rFonts w:hint="eastAsia" w:ascii="宋体" w:hAnsi="宋体" w:eastAsia="宋体" w:cs="宋体"/>
                <w:i w:val="0"/>
                <w:iCs w:val="0"/>
                <w:color w:val="000000"/>
                <w:kern w:val="2"/>
                <w:sz w:val="22"/>
                <w:szCs w:val="22"/>
                <w:u w:val="none"/>
                <w:lang w:val="en-US" w:eastAsia="zh-CN" w:bidi="ar-SA"/>
              </w:rPr>
              <w:t>　60.00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6230.84</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rPr>
              <w:t>3585.51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0.00</w:t>
            </w: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kern w:val="0"/>
                <w:sz w:val="22"/>
                <w:lang w:val="en-US" w:eastAsia="zh-CN"/>
              </w:rPr>
            </w:pPr>
            <w:r>
              <w:rPr>
                <w:rFonts w:hint="eastAsia" w:ascii="宋体" w:hAnsi="宋体" w:eastAsia="宋体" w:cs="宋体"/>
                <w:kern w:val="0"/>
                <w:sz w:val="22"/>
              </w:rPr>
              <w:t>　</w:t>
            </w:r>
            <w:r>
              <w:rPr>
                <w:rFonts w:hint="eastAsia" w:ascii="宋体" w:hAnsi="宋体" w:eastAsia="宋体" w:cs="宋体"/>
                <w:kern w:val="0"/>
                <w:sz w:val="22"/>
                <w:lang w:val="en-US" w:eastAsia="zh-CN"/>
              </w:rPr>
              <w:t xml:space="preserve">                         0.00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233.66</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rPr>
              <w:t>2878.98</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6464.5</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6464.5</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tbl>
      <w:tblPr>
        <w:tblStyle w:val="7"/>
        <w:tblW w:w="17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16"/>
        <w:gridCol w:w="222"/>
        <w:gridCol w:w="240"/>
        <w:gridCol w:w="2662"/>
        <w:gridCol w:w="1390"/>
        <w:gridCol w:w="1116"/>
        <w:gridCol w:w="825"/>
        <w:gridCol w:w="1140"/>
        <w:gridCol w:w="1174"/>
        <w:gridCol w:w="2383"/>
        <w:gridCol w:w="3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17520" w:type="dxa"/>
            <w:gridSpan w:val="11"/>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部门：沅江市民政局(本级)</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66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39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1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40"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74"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383" w:type="dxa"/>
            <w:tcBorders>
              <w:top w:val="nil"/>
              <w:left w:val="nil"/>
              <w:bottom w:val="nil"/>
              <w:right w:val="nil"/>
            </w:tcBorders>
            <w:shd w:val="clear" w:color="auto" w:fill="auto"/>
            <w:noWrap/>
            <w:vAlign w:val="bottom"/>
          </w:tcPr>
          <w:p>
            <w:pPr>
              <w:jc w:val="center"/>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eastAsia="zh-CN"/>
              </w:rPr>
              <w:t>公开</w:t>
            </w:r>
            <w:r>
              <w:rPr>
                <w:rFonts w:hint="eastAsia" w:ascii="Arial" w:hAnsi="Arial" w:cs="Arial"/>
                <w:i w:val="0"/>
                <w:iCs w:val="0"/>
                <w:color w:val="000000"/>
                <w:sz w:val="20"/>
                <w:szCs w:val="20"/>
                <w:u w:val="none"/>
                <w:lang w:val="en-US" w:eastAsia="zh-CN"/>
              </w:rPr>
              <w:t>02表</w:t>
            </w:r>
          </w:p>
        </w:tc>
        <w:tc>
          <w:tcPr>
            <w:tcW w:w="3752" w:type="dxa"/>
            <w:tcBorders>
              <w:top w:val="nil"/>
              <w:left w:val="nil"/>
              <w:bottom w:val="nil"/>
              <w:right w:val="nil"/>
            </w:tcBorders>
            <w:shd w:val="clear" w:color="auto" w:fill="auto"/>
            <w:noWrap/>
            <w:vAlign w:val="bottom"/>
          </w:tcPr>
          <w:p>
            <w:pPr>
              <w:keepNext w:val="0"/>
              <w:keepLines w:val="0"/>
              <w:widowControl/>
              <w:suppressLineNumbers w:val="0"/>
              <w:ind w:firstLine="600" w:firstLineChars="30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9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1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82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4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7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238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375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p>
          <w:p>
            <w:pPr>
              <w:keepNext w:val="0"/>
              <w:keepLines w:val="0"/>
              <w:widowControl/>
              <w:suppressLineNumbers w:val="0"/>
              <w:ind w:firstLine="880" w:firstLineChars="400"/>
              <w:jc w:val="both"/>
              <w:textAlignment w:val="center"/>
              <w:rPr>
                <w:rFonts w:hint="default" w:ascii="宋体" w:hAnsi="宋体" w:eastAsia="宋体" w:cs="宋体"/>
                <w:i w:val="0"/>
                <w:iCs w:val="0"/>
                <w:color w:val="000000"/>
                <w:sz w:val="22"/>
                <w:szCs w:val="22"/>
                <w:u w:val="none"/>
                <w:lang w:val="en-US" w:eastAsia="zh-CN"/>
              </w:rPr>
            </w:pPr>
            <w:r>
              <w:rPr>
                <w:rFonts w:hint="default" w:ascii="宋体" w:hAnsi="宋体" w:eastAsia="宋体" w:cs="宋体"/>
                <w:i w:val="0"/>
                <w:iCs w:val="0"/>
                <w:color w:val="000000"/>
                <w:sz w:val="22"/>
                <w:szCs w:val="22"/>
                <w:u w:val="none"/>
                <w:lang w:val="en-US" w:eastAsia="zh-CN"/>
              </w:rPr>
              <w:t>其他收入</w:t>
            </w:r>
          </w:p>
          <w:p>
            <w:pPr>
              <w:keepNext w:val="0"/>
              <w:keepLines w:val="0"/>
              <w:widowControl/>
              <w:suppressLineNumbers w:val="0"/>
              <w:jc w:val="both"/>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662"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left="-1039" w:leftChars="-495"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2"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2"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75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4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8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5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740"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6,230.84</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6,230.84</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883" w:firstLineChars="400"/>
              <w:jc w:val="both"/>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3004.51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268.85</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268.85</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政协事务</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236.00</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2010202</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236.00</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2010404</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战略规划与实施</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880" w:firstLineChars="4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880" w:firstLineChars="4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ind w:firstLine="880" w:firstLineChars="4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5,448.82</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2,444.31</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4,387.72</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1,383.21</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3,558.92</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554.41</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2080202</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696.23</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696.23</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2080203</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30.57</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30.57</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102.00</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22.47</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22.47</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863.28</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863.28</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2081004</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殡葬</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761.00</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8"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2081005</w:t>
            </w:r>
          </w:p>
        </w:tc>
        <w:tc>
          <w:tcPr>
            <w:tcW w:w="266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社会福利事业单位</w:t>
            </w:r>
          </w:p>
        </w:tc>
        <w:tc>
          <w:tcPr>
            <w:tcW w:w="13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17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38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75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520"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7"/>
        <w:tblW w:w="15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222"/>
        <w:gridCol w:w="222"/>
        <w:gridCol w:w="5496"/>
        <w:gridCol w:w="1418"/>
        <w:gridCol w:w="1172"/>
        <w:gridCol w:w="1418"/>
        <w:gridCol w:w="678"/>
        <w:gridCol w:w="678"/>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部门：沅江市民政局(本级)</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7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7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49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9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9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3,585.51</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931.33</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2,654.18</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268.85</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60.20</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208.65</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政协事务</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236.00</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27.35</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208.65</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2010202</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236.00</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27.35</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208.65</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2010404</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战略规划与实施</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2,764.42</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844.89</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1,919.53</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民政管理事务</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1,703.32</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701.43</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1,001.89</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2080201</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874.52</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647.31</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227.21</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2080202</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696.23</w:t>
            </w:r>
          </w:p>
        </w:tc>
        <w:tc>
          <w:tcPr>
            <w:tcW w:w="117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696.23</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2080203</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30.57</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30.57</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2080299</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102.00</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23.55</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78.45</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22.47</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7.51</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22.24</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117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社会福利</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863.28</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99.43</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763.85</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2081004</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殡葬</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761.00</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95.03</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665.97</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2081005</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社会福利事业单位</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1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720" w:type="dxa"/>
            <w:gridSpan w:val="10"/>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6" w:type="dxa"/>
            <w:tcBorders>
              <w:top w:val="nil"/>
              <w:left w:val="nil"/>
              <w:bottom w:val="nil"/>
              <w:right w:val="nil"/>
            </w:tcBorders>
            <w:shd w:val="clear" w:color="auto" w:fill="auto"/>
            <w:noWrap/>
            <w:vAlign w:val="bottom"/>
          </w:tcPr>
          <w:p>
            <w:pPr>
              <w:rPr>
                <w:rFonts w:hint="eastAsia"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616"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部门：沅江市民政局(本级)</w:t>
            </w: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22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5496"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172"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41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678" w:type="dxa"/>
            <w:tcBorders>
              <w:top w:val="nil"/>
              <w:left w:val="nil"/>
              <w:bottom w:val="nil"/>
              <w:right w:val="nil"/>
            </w:tcBorders>
            <w:shd w:val="clear" w:color="auto" w:fill="auto"/>
            <w:noWrap/>
            <w:vAlign w:val="bottom"/>
          </w:tcPr>
          <w:p>
            <w:pPr>
              <w:rPr>
                <w:rFonts w:hint="default" w:ascii="Arial" w:hAnsi="Arial" w:cs="Arial"/>
                <w:i w:val="0"/>
                <w:iCs w:val="0"/>
                <w:color w:val="000000"/>
                <w:sz w:val="20"/>
                <w:szCs w:val="20"/>
                <w:u w:val="none"/>
              </w:rPr>
            </w:pPr>
          </w:p>
        </w:tc>
        <w:tc>
          <w:tcPr>
            <w:tcW w:w="180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17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1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7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67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496" w:type="dxa"/>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9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6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96" w:type="dxa"/>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7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1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7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556" w:type="dxa"/>
            <w:gridSpan w:val="4"/>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1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7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2081006</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养老服务</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100.28</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97.88</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临时救助</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95.35</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29.06</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66.29</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2082001</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95.35</w:t>
            </w:r>
          </w:p>
        </w:tc>
        <w:tc>
          <w:tcPr>
            <w:tcW w:w="117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29.06</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66.29</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20826</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80.00</w:t>
            </w:r>
          </w:p>
        </w:tc>
        <w:tc>
          <w:tcPr>
            <w:tcW w:w="117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80.00</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2082699</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80.00</w:t>
            </w:r>
          </w:p>
        </w:tc>
        <w:tc>
          <w:tcPr>
            <w:tcW w:w="117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80.00</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549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422.93</w:t>
            </w:r>
          </w:p>
        </w:tc>
        <w:tc>
          <w:tcPr>
            <w:tcW w:w="1172"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422.93</w:t>
            </w: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21217</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城市基础设施配套费对应专项债务收入安排的支出</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422.93</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422.93</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2121799</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其他城市基础设施配套费对应专项债务收入安排的支出</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422.93</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422.93</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25.75</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25.75</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25.75</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25.75</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25.75</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25.75</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2296002</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用于社会福利的彩票公益金支出</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60.00</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234</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抗疫特别国债安排的支出</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39.08</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39.08</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6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23401</w:t>
            </w:r>
          </w:p>
        </w:tc>
        <w:tc>
          <w:tcPr>
            <w:tcW w:w="549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基础设施建设</w:t>
            </w: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39.08</w:t>
            </w:r>
          </w:p>
        </w:tc>
        <w:tc>
          <w:tcPr>
            <w:tcW w:w="1172"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kern w:val="0"/>
                <w:sz w:val="22"/>
                <w:szCs w:val="22"/>
                <w:u w:val="none"/>
                <w:lang w:val="en-US" w:eastAsia="zh-CN" w:bidi="ar"/>
              </w:rPr>
            </w:pPr>
          </w:p>
        </w:tc>
        <w:tc>
          <w:tcPr>
            <w:tcW w:w="1418"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39.08</w:t>
            </w: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7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800"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bl>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p>
      <w:pPr>
        <w:widowControl/>
        <w:jc w:val="left"/>
        <w:rPr>
          <w:rFonts w:hint="eastAsia" w:ascii="宋体" w:hAnsi="宋体" w:eastAsia="宋体" w:cs="宋体"/>
          <w:kern w:val="0"/>
          <w:sz w:val="24"/>
          <w:szCs w:val="24"/>
        </w:rPr>
      </w:pPr>
    </w:p>
    <w:tbl>
      <w:tblPr>
        <w:tblStyle w:val="7"/>
        <w:tblW w:w="15521" w:type="dxa"/>
        <w:tblInd w:w="93" w:type="dxa"/>
        <w:tblLayout w:type="fixed"/>
        <w:tblCellMar>
          <w:top w:w="0" w:type="dxa"/>
          <w:left w:w="108" w:type="dxa"/>
          <w:bottom w:w="0" w:type="dxa"/>
          <w:right w:w="108" w:type="dxa"/>
        </w:tblCellMar>
      </w:tblPr>
      <w:tblGrid>
        <w:gridCol w:w="3113"/>
        <w:gridCol w:w="914"/>
        <w:gridCol w:w="1252"/>
        <w:gridCol w:w="3250"/>
        <w:gridCol w:w="631"/>
        <w:gridCol w:w="435"/>
        <w:gridCol w:w="1571"/>
        <w:gridCol w:w="1392"/>
        <w:gridCol w:w="1392"/>
        <w:gridCol w:w="1571"/>
      </w:tblGrid>
      <w:tr>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I22"/>
            <w:bookmarkEnd w:id="0"/>
            <w:bookmarkStart w:id="1"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11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1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8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113"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20"/>
                <w:szCs w:val="20"/>
                <w:u w:val="none"/>
                <w:lang w:val="en-US" w:eastAsia="zh-CN" w:bidi="ar"/>
              </w:rPr>
              <w:t>沅江市民政局(本级)</w:t>
            </w:r>
          </w:p>
        </w:tc>
        <w:tc>
          <w:tcPr>
            <w:tcW w:w="91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81"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27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42"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5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2,743.40</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268.85</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268.85</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482.93</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0.50</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25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3,226.33</w:t>
            </w:r>
          </w:p>
        </w:tc>
        <w:tc>
          <w:tcPr>
            <w:tcW w:w="32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3,459.99</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2,937.99</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522.00</w:t>
            </w: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233.66</w:t>
            </w:r>
          </w:p>
        </w:tc>
        <w:tc>
          <w:tcPr>
            <w:tcW w:w="32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194.59</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39.08</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91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2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2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113"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91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25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3,459.99</w:t>
            </w:r>
          </w:p>
        </w:tc>
        <w:tc>
          <w:tcPr>
            <w:tcW w:w="32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1"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3,459.99</w:t>
            </w:r>
          </w:p>
        </w:tc>
        <w:tc>
          <w:tcPr>
            <w:tcW w:w="1392"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2,937.99</w:t>
            </w:r>
          </w:p>
        </w:tc>
        <w:tc>
          <w:tcPr>
            <w:tcW w:w="139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522.00</w:t>
            </w:r>
          </w:p>
        </w:tc>
        <w:tc>
          <w:tcPr>
            <w:tcW w:w="157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0"/>
          <w:szCs w:val="20"/>
          <w:u w:val="none"/>
          <w:lang w:val="en-US" w:eastAsia="zh-CN" w:bidi="ar"/>
        </w:rPr>
        <w:t>沅江市民政局(本级)</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2,937.99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805.81</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2,132.18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268.85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60.20</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208.65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人大事务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21.85</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21.85</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政协事务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236.00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27.35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208.65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236.00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27.35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208.65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发展与改革事务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2010404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战略规划与实施</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0.50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2,638.89</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719.36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1,919.53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民政管理事务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1,577.80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575.91</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1,001.89</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0"/>
          <w:szCs w:val="20"/>
          <w:u w:val="none"/>
          <w:lang w:val="en-US" w:eastAsia="zh-CN" w:bidi="ar"/>
        </w:rPr>
        <w:t>沅江市民政局(本级)</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748.99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521.78</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227.21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2080202</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696.23</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696.23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2080203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机关服务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30.57</w:t>
            </w:r>
          </w:p>
        </w:tc>
        <w:tc>
          <w:tcPr>
            <w:tcW w:w="3000"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其他民政管理事务支出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102.00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23.55</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78.45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死亡抚恤</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22.24</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14.96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其他优抚支出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0.23</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0.23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社会福利</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863.28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99.43</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763.85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2081004</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殡葬</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761.00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95.03</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665.97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2081005</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社会福利事业单位</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2081006</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养老服务</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100.28</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97.88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20820</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临时救助</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95.35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29.06</w:t>
            </w: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66.29</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0"/>
          <w:szCs w:val="20"/>
          <w:u w:val="none"/>
          <w:lang w:val="en-US" w:eastAsia="zh-CN" w:bidi="ar"/>
        </w:rPr>
        <w:t>沅江市民政局(本级)</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7"/>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2082001</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临时救助支出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95.35</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29.06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66.29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20826</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财政对基本养老保险基金的补助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2082699</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财政对其他基本养老保险基金的补助</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25.75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25.75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25.75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25.75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25.75</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25.75</w:t>
            </w:r>
          </w:p>
        </w:tc>
        <w:tc>
          <w:tcPr>
            <w:tcW w:w="3000" w:type="dxa"/>
            <w:tcBorders>
              <w:top w:val="nil"/>
              <w:left w:val="nil"/>
              <w:bottom w:val="single" w:color="auto" w:sz="8"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bookmarkEnd w:id="1"/>
    <w:p>
      <w:pPr>
        <w:widowControl/>
        <w:jc w:val="center"/>
        <w:rPr>
          <w:rFonts w:ascii="Times New Roman" w:hAnsi="Times New Roman" w:eastAsia="仿宋_GB2312" w:cs="Times New Roman"/>
          <w:bCs/>
          <w:kern w:val="0"/>
          <w:szCs w:val="21"/>
        </w:rPr>
      </w:pPr>
    </w:p>
    <w:tbl>
      <w:tblPr>
        <w:tblStyle w:val="7"/>
        <w:tblW w:w="0" w:type="auto"/>
        <w:tblInd w:w="0" w:type="dxa"/>
        <w:tblLayout w:type="fixed"/>
        <w:tblCellMar>
          <w:top w:w="0" w:type="dxa"/>
          <w:left w:w="108" w:type="dxa"/>
          <w:bottom w:w="0" w:type="dxa"/>
          <w:right w:w="108" w:type="dxa"/>
        </w:tblCellMar>
      </w:tblPr>
      <w:tblGrid>
        <w:gridCol w:w="1003"/>
        <w:gridCol w:w="180"/>
        <w:gridCol w:w="60"/>
        <w:gridCol w:w="1402"/>
        <w:gridCol w:w="1938"/>
        <w:gridCol w:w="181"/>
        <w:gridCol w:w="816"/>
        <w:gridCol w:w="859"/>
        <w:gridCol w:w="444"/>
        <w:gridCol w:w="1934"/>
        <w:gridCol w:w="185"/>
        <w:gridCol w:w="650"/>
        <w:gridCol w:w="1001"/>
        <w:gridCol w:w="468"/>
        <w:gridCol w:w="2119"/>
        <w:gridCol w:w="1435"/>
        <w:gridCol w:w="685"/>
        <w:gridCol w:w="254"/>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i w:val="0"/>
                <w:iCs w:val="0"/>
                <w:color w:val="000000"/>
                <w:kern w:val="0"/>
                <w:sz w:val="20"/>
                <w:szCs w:val="20"/>
                <w:u w:val="none"/>
                <w:lang w:val="en-US" w:eastAsia="zh-CN" w:bidi="ar"/>
              </w:rPr>
              <w:t>沅江市民政局(本级)</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1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0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5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7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22"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9"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533.83</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213.78</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159.71</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15.04</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81.79</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9.61</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141.81</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9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26.71</w:t>
            </w: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23.84</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22.01</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0.17</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26.71</w:t>
            </w: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35.42</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7.04</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0.98</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1.51</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24.32</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9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12.38</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3.12</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5.56</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34.21</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9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14.48</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6.63</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31.47</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0.75</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9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1.77</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9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3.30</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9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24.34</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0.51</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9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0.46</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9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43.76</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0.23</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53.74</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39909</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9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39910</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9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100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39999</w:t>
            </w:r>
          </w:p>
        </w:tc>
        <w:tc>
          <w:tcPr>
            <w:tcW w:w="4022"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400"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w:t>
            </w: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35"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1001"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22"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183" w:type="dxa"/>
            <w:gridSpan w:val="2"/>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400"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997"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859"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378"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35"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39.38</w:t>
            </w:r>
          </w:p>
        </w:tc>
        <w:tc>
          <w:tcPr>
            <w:tcW w:w="1001"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22" w:type="dxa"/>
            <w:gridSpan w:val="3"/>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939"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58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99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565.31</w:t>
            </w:r>
          </w:p>
        </w:tc>
        <w:tc>
          <w:tcPr>
            <w:tcW w:w="9095" w:type="dxa"/>
            <w:gridSpan w:val="9"/>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93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240.50</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5614" w:type="dxa"/>
            <w:gridSpan w:val="18"/>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0" w:hRule="atLeast"/>
        </w:trPr>
        <w:tc>
          <w:tcPr>
            <w:tcW w:w="2645" w:type="dxa"/>
            <w:gridSpan w:val="4"/>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沅江市民政局(本级)</w:t>
            </w: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4"/>
                <w:lang w:val="en-US" w:eastAsia="zh-CN" w:bidi="ar"/>
              </w:rPr>
              <w:t xml:space="preserve">   </w:t>
            </w:r>
            <w:r>
              <w:rPr>
                <w:rStyle w:val="15"/>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12"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39.08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482.93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522.00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522.00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城乡社区支出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422.93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422.93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422.93</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21217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城市基础设施配套费对应专项债务收入安排的支出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422.93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422.93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422.93</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8"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2121799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9"/>
                <w:szCs w:val="9"/>
                <w:u w:val="none"/>
                <w:lang w:val="en-US" w:eastAsia="zh-CN" w:bidi="ar"/>
              </w:rPr>
              <w:t xml:space="preserve">  其他城市基础设施配套费对应专项债务收入安排的支出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422.93</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422.93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422.93</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其他支出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22960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9"/>
                <w:szCs w:val="9"/>
                <w:u w:val="none"/>
                <w:lang w:val="en-US" w:eastAsia="zh-CN" w:bidi="ar"/>
              </w:rPr>
            </w:pPr>
            <w:r>
              <w:rPr>
                <w:rFonts w:hint="eastAsia" w:ascii="宋体" w:hAnsi="宋体" w:eastAsia="宋体" w:cs="宋体"/>
                <w:i w:val="0"/>
                <w:iCs w:val="0"/>
                <w:color w:val="000000"/>
                <w:kern w:val="0"/>
                <w:sz w:val="9"/>
                <w:szCs w:val="9"/>
                <w:u w:val="none"/>
                <w:lang w:val="en-US" w:eastAsia="zh-CN" w:bidi="ar"/>
              </w:rPr>
              <w:t>彩票公益金安排的支出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2296002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9"/>
                <w:szCs w:val="9"/>
                <w:u w:val="none"/>
                <w:lang w:val="en-US" w:eastAsia="zh-CN" w:bidi="ar"/>
              </w:rPr>
            </w:pPr>
            <w:r>
              <w:rPr>
                <w:rFonts w:hint="eastAsia" w:ascii="宋体" w:hAnsi="宋体" w:eastAsia="宋体" w:cs="宋体"/>
                <w:i w:val="0"/>
                <w:iCs w:val="0"/>
                <w:color w:val="000000"/>
                <w:kern w:val="0"/>
                <w:sz w:val="9"/>
                <w:szCs w:val="9"/>
                <w:u w:val="none"/>
                <w:lang w:val="en-US" w:eastAsia="zh-CN" w:bidi="ar"/>
              </w:rPr>
              <w:t xml:space="preserve">  用于社会福利的彩票公益金支出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60.00</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60.00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234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9"/>
                <w:szCs w:val="9"/>
                <w:u w:val="none"/>
                <w:lang w:val="en-US" w:eastAsia="zh-CN" w:bidi="ar"/>
              </w:rPr>
            </w:pPr>
            <w:r>
              <w:rPr>
                <w:rFonts w:hint="eastAsia" w:ascii="宋体" w:hAnsi="宋体" w:eastAsia="宋体" w:cs="宋体"/>
                <w:i w:val="0"/>
                <w:iCs w:val="0"/>
                <w:color w:val="000000"/>
                <w:kern w:val="0"/>
                <w:sz w:val="9"/>
                <w:szCs w:val="9"/>
                <w:u w:val="none"/>
                <w:lang w:val="en-US" w:eastAsia="zh-CN" w:bidi="ar"/>
              </w:rPr>
              <w:t>抗疫特别国债安排的支出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39.08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39.08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39.08</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23401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9"/>
                <w:szCs w:val="9"/>
                <w:u w:val="none"/>
                <w:lang w:val="en-US" w:eastAsia="zh-CN" w:bidi="ar"/>
              </w:rPr>
            </w:pPr>
            <w:r>
              <w:rPr>
                <w:rFonts w:hint="eastAsia" w:ascii="宋体" w:hAnsi="宋体" w:eastAsia="宋体" w:cs="宋体"/>
                <w:i w:val="0"/>
                <w:iCs w:val="0"/>
                <w:color w:val="000000"/>
                <w:kern w:val="0"/>
                <w:sz w:val="9"/>
                <w:szCs w:val="9"/>
                <w:u w:val="none"/>
                <w:lang w:val="en-US" w:eastAsia="zh-CN" w:bidi="ar"/>
              </w:rPr>
              <w:t>基础设施建设</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39.08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39.08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39.08</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0"/>
                <w:szCs w:val="10"/>
                <w:u w:val="none"/>
              </w:rPr>
            </w:pPr>
            <w:r>
              <w:rPr>
                <w:rFonts w:hint="eastAsia" w:ascii="宋体" w:hAnsi="宋体" w:eastAsia="宋体" w:cs="宋体"/>
                <w:i w:val="0"/>
                <w:iCs w:val="0"/>
                <w:color w:val="000000"/>
                <w:kern w:val="0"/>
                <w:sz w:val="10"/>
                <w:szCs w:val="10"/>
                <w:u w:val="none"/>
                <w:lang w:val="en-US" w:eastAsia="zh-CN" w:bidi="ar"/>
              </w:rPr>
              <w:t>2340199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9"/>
                <w:szCs w:val="9"/>
                <w:u w:val="none"/>
                <w:lang w:val="en-US" w:eastAsia="zh-CN" w:bidi="ar"/>
              </w:rPr>
            </w:pPr>
            <w:r>
              <w:rPr>
                <w:rFonts w:hint="eastAsia" w:ascii="宋体" w:hAnsi="宋体" w:eastAsia="宋体" w:cs="宋体"/>
                <w:i w:val="0"/>
                <w:iCs w:val="0"/>
                <w:color w:val="000000"/>
                <w:kern w:val="0"/>
                <w:sz w:val="9"/>
                <w:szCs w:val="9"/>
                <w:u w:val="none"/>
                <w:lang w:val="en-US" w:eastAsia="zh-CN" w:bidi="ar"/>
              </w:rPr>
              <w:t xml:space="preserve">  其他基础设施建设</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39.08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39.08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39.08</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pPr>
        <w:widowControl/>
        <w:jc w:val="center"/>
        <w:rPr>
          <w:rFonts w:hint="eastAsia" w:ascii="Times New Roman" w:hAnsi="Times New Roman" w:eastAsia="方正小标宋_GBK" w:cs="Times New Roman"/>
          <w:color w:val="000000"/>
          <w:kern w:val="0"/>
          <w:sz w:val="36"/>
          <w:szCs w:val="36"/>
        </w:rPr>
      </w:pPr>
    </w:p>
    <w:tbl>
      <w:tblPr>
        <w:tblStyle w:val="7"/>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645"/>
        <w:gridCol w:w="2076"/>
        <w:gridCol w:w="2979"/>
        <w:gridCol w:w="2979"/>
        <w:gridCol w:w="3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沅江市民政局(本级)</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6"/>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7"/>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16"/>
        <w:gridCol w:w="1185"/>
        <w:gridCol w:w="1100"/>
        <w:gridCol w:w="1101"/>
        <w:gridCol w:w="1101"/>
        <w:gridCol w:w="1101"/>
        <w:gridCol w:w="1144"/>
        <w:gridCol w:w="1186"/>
        <w:gridCol w:w="1144"/>
        <w:gridCol w:w="1101"/>
        <w:gridCol w:w="1101"/>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20"/>
                <w:szCs w:val="20"/>
                <w:u w:val="none"/>
                <w:lang w:val="en-US" w:eastAsia="zh-CN" w:bidi="ar"/>
              </w:rPr>
              <w:t>沅江市民政局(本级)</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7.93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7.93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widowControl/>
        <w:jc w:val="left"/>
        <w:rPr>
          <w:rFonts w:ascii="宋体" w:eastAsia="宋体" w:cs="宋体"/>
          <w:kern w:val="0"/>
          <w:sz w:val="24"/>
          <w:szCs w:val="24"/>
        </w:rPr>
      </w:pPr>
      <w:r>
        <w:rPr>
          <w:rFonts w:ascii="宋体" w:eastAsia="宋体" w:cs="宋体"/>
          <w:kern w:val="0"/>
          <w:sz w:val="24"/>
          <w:szCs w:val="24"/>
        </w:rPr>
        <w:br w:type="page"/>
      </w:r>
    </w:p>
    <w:p>
      <w:pPr>
        <w:pStyle w:val="11"/>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pStyle w:val="11"/>
        <w:rPr>
          <w:sz w:val="72"/>
          <w:szCs w:val="72"/>
        </w:rPr>
      </w:pPr>
    </w:p>
    <w:p>
      <w:pPr>
        <w:pStyle w:val="11"/>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rPr>
          <w:sz w:val="70"/>
          <w:szCs w:val="70"/>
        </w:rPr>
      </w:pPr>
      <w:r>
        <w:rPr>
          <w:sz w:val="70"/>
          <w:szCs w:val="70"/>
        </w:rPr>
        <w:t>20</w:t>
      </w:r>
      <w:r>
        <w:rPr>
          <w:rFonts w:hint="eastAsia"/>
          <w:sz w:val="70"/>
          <w:szCs w:val="70"/>
        </w:rPr>
        <w:t>2</w:t>
      </w:r>
      <w:r>
        <w:rPr>
          <w:rFonts w:hint="eastAsia"/>
          <w:sz w:val="70"/>
          <w:szCs w:val="70"/>
          <w:lang w:val="en-US" w:eastAsia="zh-CN"/>
        </w:rPr>
        <w:t>2</w:t>
      </w:r>
      <w:r>
        <w:rPr>
          <w:rFonts w:hint="eastAsia"/>
          <w:sz w:val="70"/>
          <w:szCs w:val="70"/>
        </w:rPr>
        <w:t>年度部门决算情况说明</w:t>
      </w:r>
    </w:p>
    <w:p>
      <w:pPr>
        <w:widowControl/>
        <w:jc w:val="left"/>
        <w:rPr>
          <w:rFonts w:ascii="黑体" w:eastAsia="黑体" w:cs="黑体"/>
          <w:color w:val="000000"/>
          <w:kern w:val="0"/>
          <w:sz w:val="70"/>
          <w:szCs w:val="70"/>
        </w:rPr>
      </w:pPr>
      <w:r>
        <w:rPr>
          <w:sz w:val="70"/>
          <w:szCs w:val="70"/>
        </w:rPr>
        <w:br w:type="page"/>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年度收、支总计6464.5万元。与上年相比，增加</w:t>
      </w:r>
      <w:r>
        <w:rPr>
          <w:rFonts w:hint="eastAsia" w:ascii="Times New Roman" w:hAnsi="Times New Roman" w:eastAsia="仿宋_GB2312"/>
          <w:sz w:val="32"/>
          <w:szCs w:val="32"/>
          <w:lang w:val="en-US" w:eastAsia="zh-CN"/>
        </w:rPr>
        <w:t>3945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61</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专项债券资金</w:t>
      </w:r>
      <w:r>
        <w:rPr>
          <w:rFonts w:hint="eastAsia" w:asciiTheme="minorEastAsia" w:hAnsiTheme="minorEastAsia" w:eastAsiaTheme="minorEastAsia"/>
          <w:sz w:val="32"/>
          <w:szCs w:val="32"/>
          <w:lang w:eastAsia="zh-CN"/>
        </w:rPr>
        <w:t>增加。</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年度收入合计6230.84万元，其中：财政拨款收入3226.33万元，占</w:t>
      </w:r>
      <w:r>
        <w:rPr>
          <w:rFonts w:hint="eastAsia" w:ascii="Times New Roman" w:hAnsi="Times New Roman" w:eastAsia="仿宋_GB2312"/>
          <w:sz w:val="32"/>
          <w:szCs w:val="32"/>
          <w:lang w:val="en-US" w:eastAsia="zh-CN"/>
        </w:rPr>
        <w:t>51.78</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%；其他收入3004.51万元，占</w:t>
      </w:r>
      <w:r>
        <w:rPr>
          <w:rFonts w:hint="eastAsia" w:ascii="Times New Roman" w:hAnsi="Times New Roman" w:eastAsia="仿宋_GB2312"/>
          <w:sz w:val="32"/>
          <w:szCs w:val="32"/>
          <w:lang w:val="en-US" w:eastAsia="zh-CN"/>
        </w:rPr>
        <w:t>48.21</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年度支出合计3585.51万元，其中：基本支出931.33万元，占</w:t>
      </w:r>
      <w:r>
        <w:rPr>
          <w:rFonts w:hint="eastAsia" w:ascii="Times New Roman" w:hAnsi="Times New Roman" w:eastAsia="仿宋_GB2312"/>
          <w:sz w:val="32"/>
          <w:szCs w:val="32"/>
          <w:lang w:val="en-US" w:eastAsia="zh-CN"/>
        </w:rPr>
        <w:t>25.97</w:t>
      </w:r>
      <w:r>
        <w:rPr>
          <w:rFonts w:hint="eastAsia" w:ascii="Times New Roman" w:hAnsi="Times New Roman" w:eastAsia="仿宋_GB2312"/>
          <w:sz w:val="32"/>
          <w:szCs w:val="32"/>
        </w:rPr>
        <w:t>%；项目支出2654.18万元，占</w:t>
      </w:r>
      <w:r>
        <w:rPr>
          <w:rFonts w:hint="eastAsia" w:ascii="Times New Roman" w:hAnsi="Times New Roman" w:eastAsia="仿宋_GB2312"/>
          <w:sz w:val="32"/>
          <w:szCs w:val="32"/>
          <w:lang w:val="en-US" w:eastAsia="zh-CN"/>
        </w:rPr>
        <w:t>74.02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1"/>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年度财政拨款收、支总计3459.99万元，与上年相比，增加</w:t>
      </w:r>
      <w:r>
        <w:rPr>
          <w:rFonts w:hint="eastAsia" w:ascii="Times New Roman" w:hAnsi="Times New Roman" w:eastAsia="仿宋_GB2312"/>
          <w:sz w:val="32"/>
          <w:szCs w:val="32"/>
          <w:lang w:val="en-US" w:eastAsia="zh-CN"/>
        </w:rPr>
        <w:t>1214.71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35.10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专项债券资金</w:t>
      </w:r>
      <w:r>
        <w:rPr>
          <w:rFonts w:hint="eastAsia" w:asciiTheme="minorEastAsia" w:hAnsiTheme="minorEastAsia" w:eastAsiaTheme="minorEastAsia"/>
          <w:sz w:val="32"/>
          <w:szCs w:val="32"/>
          <w:lang w:eastAsia="zh-CN"/>
        </w:rPr>
        <w:t>增加。</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Theme="minorEastAsia"/>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年度财政拨款支出2937.99万元，占本年支出合计的</w:t>
      </w:r>
      <w:r>
        <w:rPr>
          <w:rFonts w:hint="eastAsia" w:ascii="Times New Roman" w:hAnsi="Times New Roman" w:eastAsia="仿宋_GB2312"/>
          <w:sz w:val="32"/>
          <w:szCs w:val="32"/>
          <w:lang w:val="en-US" w:eastAsia="zh-CN"/>
        </w:rPr>
        <w:t>45.45</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1952.69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66.46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专项债券资金</w:t>
      </w:r>
      <w:r>
        <w:rPr>
          <w:rFonts w:hint="eastAsia" w:asciiTheme="minorEastAsia" w:hAnsiTheme="minorEastAsia" w:eastAsiaTheme="minorEastAsia"/>
          <w:sz w:val="32"/>
          <w:szCs w:val="32"/>
          <w:lang w:eastAsia="zh-CN"/>
        </w:rPr>
        <w:t>增加</w:t>
      </w:r>
      <w:r>
        <w:rPr>
          <w:rFonts w:hint="eastAsia" w:ascii="Times New Roman" w:hAnsi="Times New Roman" w:eastAsia="仿宋_GB2312"/>
          <w:sz w:val="32"/>
          <w:szCs w:val="32"/>
          <w:lang w:eastAsia="zh-CN"/>
        </w:rPr>
        <w:t>。</w:t>
      </w:r>
    </w:p>
    <w:p>
      <w:pPr>
        <w:pStyle w:val="11"/>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年度财政拨款支出2937.99万元，主要用于以下方面：一般公共服务（类）支出268.85万元，占</w:t>
      </w:r>
      <w:r>
        <w:rPr>
          <w:rFonts w:hint="eastAsia" w:ascii="Times New Roman" w:hAnsi="Times New Roman" w:eastAsia="仿宋_GB2312"/>
          <w:sz w:val="32"/>
          <w:szCs w:val="32"/>
          <w:lang w:val="en-US" w:eastAsia="zh-CN"/>
        </w:rPr>
        <w:t>9.15</w:t>
      </w:r>
      <w:r>
        <w:rPr>
          <w:rFonts w:hint="eastAsia" w:ascii="Times New Roman" w:hAnsi="Times New Roman" w:eastAsia="仿宋_GB2312"/>
          <w:sz w:val="32"/>
          <w:szCs w:val="32"/>
        </w:rPr>
        <w:t>%；科学技术（类）支出0.5万元，占</w:t>
      </w:r>
      <w:r>
        <w:rPr>
          <w:rFonts w:hint="eastAsia" w:ascii="Times New Roman" w:hAnsi="Times New Roman" w:eastAsia="仿宋_GB2312"/>
          <w:sz w:val="32"/>
          <w:szCs w:val="32"/>
          <w:lang w:val="en-US" w:eastAsia="zh-CN"/>
        </w:rPr>
        <w:t>0.01</w:t>
      </w:r>
      <w:r>
        <w:rPr>
          <w:rFonts w:hint="eastAsia" w:ascii="Times New Roman" w:hAnsi="Times New Roman" w:eastAsia="仿宋_GB2312"/>
          <w:sz w:val="32"/>
          <w:szCs w:val="32"/>
        </w:rPr>
        <w:t>%;社会保障和就业（类）支出2638.89</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89.82</w:t>
      </w:r>
      <w:r>
        <w:rPr>
          <w:rFonts w:hint="eastAsia" w:ascii="Times New Roman" w:hAnsi="Times New Roman" w:eastAsia="仿宋_GB2312"/>
          <w:sz w:val="32"/>
          <w:szCs w:val="32"/>
        </w:rPr>
        <w:t>%;农林水（类）支出</w:t>
      </w:r>
      <w:r>
        <w:rPr>
          <w:rFonts w:hint="eastAsia" w:ascii="Times New Roman" w:hAnsi="Times New Roman" w:eastAsia="仿宋_GB2312"/>
          <w:sz w:val="32"/>
          <w:szCs w:val="32"/>
          <w:lang w:val="en-US" w:eastAsia="zh-CN"/>
        </w:rPr>
        <w:t>4万元，占0.13%</w:t>
      </w:r>
      <w:r>
        <w:rPr>
          <w:rFonts w:hint="eastAsia" w:ascii="Times New Roman" w:hAnsi="Times New Roman" w:eastAsia="仿宋_GB2312"/>
          <w:sz w:val="32"/>
          <w:szCs w:val="32"/>
        </w:rPr>
        <w:t>;住房保障（类）支出25.75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0.87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年度财政拨款支出年初预算数为432.11万元，支出决算数为2937.99万元，完成年初预算的</w:t>
      </w:r>
      <w:r>
        <w:rPr>
          <w:rFonts w:hint="eastAsia" w:ascii="Times New Roman" w:hAnsi="Times New Roman" w:eastAsia="仿宋_GB2312"/>
          <w:sz w:val="32"/>
          <w:szCs w:val="32"/>
          <w:lang w:val="en-US" w:eastAsia="zh-CN"/>
        </w:rPr>
        <w:t>679.91</w:t>
      </w:r>
      <w:r>
        <w:rPr>
          <w:rFonts w:hint="eastAsia" w:ascii="Times New Roman" w:hAnsi="Times New Roman" w:eastAsia="仿宋_GB2312"/>
          <w:sz w:val="32"/>
          <w:szCs w:val="32"/>
        </w:rPr>
        <w:t>%，其中：</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1、一般公共服务支出（类）组织事务（款</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一般行政管理事务（项）。</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268.85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%，决算数大于年初预算数的主要原因是：一般行政管理事务</w:t>
      </w:r>
      <w:r>
        <w:rPr>
          <w:rFonts w:hint="eastAsia" w:ascii="Times New Roman" w:hAnsi="Times New Roman" w:eastAsia="仿宋_GB2312"/>
          <w:sz w:val="32"/>
          <w:szCs w:val="32"/>
          <w:lang w:eastAsia="zh-CN"/>
        </w:rPr>
        <w:t>经费增加。</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2、一般公共服务支出（类）科学技术支出（款）其他科学技术支出（项）。</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其他科学技术支出</w:t>
      </w:r>
      <w:r>
        <w:rPr>
          <w:rFonts w:hint="eastAsia" w:ascii="Times New Roman" w:hAnsi="Times New Roman" w:eastAsia="仿宋_GB2312"/>
          <w:sz w:val="32"/>
          <w:szCs w:val="32"/>
          <w:lang w:eastAsia="zh-CN"/>
        </w:rPr>
        <w:t>经费增加。</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、一般公共服务支出（类）社会保障和就业支出（款）民政管理事务支出（项）。</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383.06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2642.89</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689.94</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专项债券资金增加。</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、一般公共服务支出（类）住房保障支出（款） 住房公积金（项）。</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25.75</w:t>
      </w:r>
      <w:r>
        <w:rPr>
          <w:rFonts w:hint="eastAsia" w:ascii="Times New Roman" w:hAnsi="Times New Roman" w:eastAsia="仿宋_GB2312"/>
          <w:sz w:val="32"/>
          <w:szCs w:val="32"/>
        </w:rPr>
        <w:t>万元，支出决算为25.75万元，完成年初预算的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年度财政拨款基本支出805.81万元，其中：</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565.31万元，占基本支出的</w:t>
      </w:r>
      <w:r>
        <w:rPr>
          <w:rFonts w:hint="eastAsia" w:ascii="Times New Roman" w:hAnsi="Times New Roman" w:eastAsia="仿宋_GB2312"/>
          <w:sz w:val="32"/>
          <w:szCs w:val="32"/>
          <w:lang w:val="en-US" w:eastAsia="zh-CN"/>
        </w:rPr>
        <w:t>70.15</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240.5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29.84</w:t>
      </w:r>
      <w:r>
        <w:rPr>
          <w:rFonts w:hint="eastAsia" w:ascii="Times New Roman" w:hAnsi="Times New Roman" w:eastAsia="仿宋_GB2312"/>
          <w:sz w:val="32"/>
          <w:szCs w:val="32"/>
        </w:rPr>
        <w:t>%，主要包括办公费、印刷费、咨询费、手续费。</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%，决算数大于预算数的主要原因是</w:t>
      </w:r>
      <w:r>
        <w:rPr>
          <w:rFonts w:hint="eastAsia" w:ascii="Times New Roman" w:hAnsi="Times New Roman" w:eastAsia="仿宋_GB2312"/>
          <w:sz w:val="32"/>
          <w:szCs w:val="32"/>
          <w:lang w:eastAsia="zh-CN"/>
        </w:rPr>
        <w:t>参考学习殡葬改革增加</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11.69</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同</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持平</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节约开支</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7.93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7.93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235</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考察学习殡葬改革来访人员和养老机构防诈骗</w:t>
      </w:r>
      <w:r>
        <w:rPr>
          <w:rFonts w:hint="eastAsia" w:ascii="Times New Roman" w:hAnsi="Times New Roman" w:eastAsia="仿宋_GB2312"/>
          <w:sz w:val="32"/>
          <w:szCs w:val="32"/>
        </w:rPr>
        <w:t>发生的接待支出。</w:t>
      </w:r>
    </w:p>
    <w:p>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沅江市民政局本级</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1"/>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年度政府性基金预算财政拨款收入482.93万元；年初结转和结余39.08万元；支出522万元，其中基本支出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522</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1、城乡社区支出（类）</w:t>
      </w:r>
      <w:r>
        <w:rPr>
          <w:rFonts w:hint="eastAsia" w:ascii="Times New Roman" w:hAnsi="Times New Roman" w:eastAsia="仿宋_GB2312"/>
          <w:sz w:val="32"/>
          <w:szCs w:val="32"/>
          <w:lang w:eastAsia="zh-CN"/>
        </w:rPr>
        <w:t>殡仪馆改扩建</w:t>
      </w:r>
      <w:r>
        <w:rPr>
          <w:rFonts w:hint="eastAsia" w:ascii="Times New Roman" w:hAnsi="Times New Roman" w:eastAsia="仿宋_GB2312"/>
          <w:sz w:val="32"/>
          <w:szCs w:val="32"/>
        </w:rPr>
        <w:t>（款）城市基础设施配套费对应专项债务收入安排的支出（项）。</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万元，支出决算为422.93万元，完成年初预算的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殡仪馆改扩建国债资金增加。</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、其他支出（类）</w:t>
      </w:r>
      <w:r>
        <w:rPr>
          <w:rFonts w:hint="eastAsia" w:ascii="Times New Roman" w:hAnsi="Times New Roman" w:eastAsia="仿宋_GB2312"/>
          <w:sz w:val="32"/>
          <w:szCs w:val="32"/>
          <w:lang w:eastAsia="zh-CN"/>
        </w:rPr>
        <w:t>彩票公益金</w:t>
      </w:r>
      <w:r>
        <w:rPr>
          <w:rFonts w:hint="eastAsia" w:ascii="Times New Roman" w:hAnsi="Times New Roman" w:eastAsia="仿宋_GB2312"/>
          <w:sz w:val="32"/>
          <w:szCs w:val="32"/>
        </w:rPr>
        <w:t>（款）用于社会福利的彩票公益金支出（项）。</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福彩公益金增加。</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、抗疫特别国债安排的支出（类）基础设施建设（款）  其他基础设施建设（项）。</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39.08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农村公益性公墓</w:t>
      </w:r>
      <w:r>
        <w:rPr>
          <w:rFonts w:hint="eastAsia" w:ascii="Times New Roman" w:hAnsi="Times New Roman" w:eastAsia="仿宋_GB2312"/>
          <w:sz w:val="32"/>
          <w:szCs w:val="32"/>
        </w:rPr>
        <w:t>抗疫国债</w:t>
      </w:r>
      <w:r>
        <w:rPr>
          <w:rFonts w:hint="eastAsia" w:ascii="Times New Roman" w:hAnsi="Times New Roman" w:eastAsia="仿宋_GB2312"/>
          <w:sz w:val="32"/>
          <w:szCs w:val="32"/>
          <w:lang w:eastAsia="zh-CN"/>
        </w:rPr>
        <w:t>增加。</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年度机关运行经费支出240.5万元，比年初</w:t>
      </w:r>
      <w:r>
        <w:rPr>
          <w:rFonts w:hint="eastAsia" w:ascii="Times New Roman" w:hAnsi="Times New Roman" w:eastAsia="仿宋_GB2312"/>
          <w:sz w:val="32"/>
          <w:szCs w:val="32"/>
          <w:lang w:eastAsia="zh-CN"/>
        </w:rPr>
        <w:t>决</w:t>
      </w:r>
      <w:r>
        <w:rPr>
          <w:rFonts w:hint="eastAsia" w:ascii="Times New Roman" w:hAnsi="Times New Roman" w:eastAsia="仿宋_GB2312"/>
          <w:sz w:val="32"/>
          <w:szCs w:val="32"/>
        </w:rPr>
        <w:t>算数增加</w:t>
      </w:r>
      <w:r>
        <w:rPr>
          <w:rFonts w:hint="eastAsia" w:ascii="Times New Roman" w:hAnsi="Times New Roman" w:eastAsia="仿宋_GB2312"/>
          <w:sz w:val="32"/>
          <w:szCs w:val="32"/>
          <w:lang w:val="en-US" w:eastAsia="zh-CN"/>
        </w:rPr>
        <w:t>74.67</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31.04</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差旅费增加</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heme="minorEastAsia" w:hAnsiTheme="minorEastAsia" w:eastAsiaTheme="minorEastAsia"/>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2.56</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殡葬改革学习</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640</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殡葬改革学习</w:t>
      </w:r>
      <w:r>
        <w:rPr>
          <w:rFonts w:hint="eastAsia" w:ascii="Times New Roman" w:hAnsi="Times New Roman" w:eastAsia="仿宋_GB2312"/>
          <w:sz w:val="32"/>
          <w:szCs w:val="32"/>
        </w:rPr>
        <w:t>会议；开支培训费</w:t>
      </w:r>
      <w:r>
        <w:rPr>
          <w:rFonts w:hint="eastAsia" w:ascii="Times New Roman" w:hAnsi="Times New Roman" w:eastAsia="仿宋_GB2312"/>
          <w:sz w:val="32"/>
          <w:szCs w:val="32"/>
          <w:lang w:val="en-US" w:eastAsia="zh-CN"/>
        </w:rPr>
        <w:t>1.86</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继续教育</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465</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继续教育</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r>
        <w:rPr>
          <w:rFonts w:hint="eastAsia" w:asciiTheme="minorEastAsia" w:hAnsiTheme="minorEastAsia" w:eastAsiaTheme="minorEastAsia"/>
          <w:sz w:val="32"/>
          <w:szCs w:val="32"/>
          <w:lang w:eastAsia="zh-CN"/>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2331.60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945.84</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504.29</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881.47</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2331.6</w:t>
      </w:r>
      <w:r>
        <w:rPr>
          <w:rFonts w:hint="eastAsia" w:ascii="Times New Roman" w:hAnsi="Times New Roman" w:eastAsia="仿宋_GB2312"/>
          <w:sz w:val="32"/>
          <w:szCs w:val="32"/>
        </w:rPr>
        <w:t>万元，</w:t>
      </w:r>
      <w:bookmarkStart w:id="3" w:name="_GoBack"/>
      <w:bookmarkEnd w:id="3"/>
      <w:r>
        <w:rPr>
          <w:rFonts w:hint="eastAsia" w:ascii="Times New Roman" w:hAnsi="Times New Roman" w:eastAsia="仿宋_GB2312"/>
          <w:sz w:val="32"/>
          <w:szCs w:val="32"/>
        </w:rPr>
        <w:t>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11"/>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atLeast"/>
        <w:ind w:left="319" w:leftChars="152" w:firstLine="639" w:firstLineChars="205"/>
        <w:textAlignment w:val="auto"/>
        <w:rPr>
          <w:rFonts w:hint="default" w:ascii="仿宋_GB2312" w:hAnsi="仿宋_GB2312" w:eastAsia="仿宋_GB2312" w:cs="仿宋_GB2312"/>
          <w:kern w:val="2"/>
          <w:sz w:val="32"/>
          <w:szCs w:val="32"/>
          <w:lang w:val="en-US" w:eastAsia="zh-CN" w:bidi="ar-SA"/>
        </w:rPr>
      </w:pPr>
      <w:r>
        <w:rPr>
          <w:rFonts w:hint="default" w:ascii="Times New Roman" w:hAnsi="Times New Roman" w:eastAsia="仿宋_GB2312" w:cs="Times New Roman"/>
          <w:b/>
          <w:bCs/>
          <w:color w:val="auto"/>
          <w:spacing w:val="-4"/>
          <w:sz w:val="32"/>
          <w:szCs w:val="32"/>
        </w:rPr>
        <w:t>1</w:t>
      </w:r>
      <w:r>
        <w:rPr>
          <w:rFonts w:hint="default" w:ascii="Times New Roman" w:hAnsi="Times New Roman" w:eastAsia="仿宋_GB2312" w:cs="Times New Roman"/>
          <w:b/>
          <w:bCs/>
          <w:color w:val="auto"/>
          <w:spacing w:val="-4"/>
          <w:sz w:val="32"/>
          <w:szCs w:val="32"/>
          <w:lang w:eastAsia="zh-CN"/>
        </w:rPr>
        <w:t>、</w:t>
      </w:r>
      <w:r>
        <w:rPr>
          <w:rFonts w:hint="eastAsia" w:ascii="Times New Roman" w:hAnsi="Times New Roman" w:eastAsia="仿宋_GB2312" w:cs="Times New Roman"/>
          <w:b/>
          <w:bCs/>
          <w:color w:val="auto"/>
          <w:spacing w:val="-4"/>
          <w:sz w:val="32"/>
          <w:szCs w:val="32"/>
          <w:lang w:eastAsia="zh-CN"/>
        </w:rPr>
        <w:t>专项</w:t>
      </w:r>
      <w:r>
        <w:rPr>
          <w:rFonts w:hint="eastAsia" w:ascii="楷体_GB2312" w:hAnsi="楷体_GB2312" w:eastAsia="楷体_GB2312" w:cs="楷体_GB2312"/>
          <w:b/>
          <w:bCs/>
          <w:color w:val="auto"/>
          <w:spacing w:val="-4"/>
          <w:sz w:val="32"/>
          <w:szCs w:val="32"/>
          <w:lang w:val="en-US" w:eastAsia="zh-CN"/>
        </w:rPr>
        <w:t xml:space="preserve">组织情况分析，主要包括项目招投标、调整、竣工验收等情况： </w:t>
      </w:r>
      <w:r>
        <w:rPr>
          <w:rFonts w:hint="eastAsia" w:ascii="仿宋" w:hAnsi="仿宋" w:eastAsia="仿宋" w:cs="仿宋"/>
          <w:kern w:val="2"/>
          <w:sz w:val="32"/>
          <w:szCs w:val="32"/>
          <w:lang w:val="en-US" w:eastAsia="zh-CN" w:bidi="ar-SA"/>
        </w:rPr>
        <w:t>我局2022年结转的4个基建项目中:殡仪馆改扩建工程(即沅江市殡仪馆新建吊念厅、火化设备等)本年已经竣工，并已交付使用，工程款已支付100%。已结清全部款项。</w:t>
      </w:r>
    </w:p>
    <w:p>
      <w:pPr>
        <w:pStyle w:val="11"/>
        <w:keepNext w:val="0"/>
        <w:keepLines w:val="0"/>
        <w:pageBreakBefore w:val="0"/>
        <w:widowControl w:val="0"/>
        <w:kinsoku/>
        <w:wordWrap/>
        <w:overflowPunct/>
        <w:topLinePunct w:val="0"/>
        <w:bidi w:val="0"/>
        <w:snapToGrid/>
        <w:spacing w:line="600" w:lineRule="exact"/>
        <w:ind w:firstLine="624" w:firstLineChars="200"/>
        <w:jc w:val="left"/>
        <w:textAlignment w:val="auto"/>
        <w:rPr>
          <w:rFonts w:hint="eastAsia" w:ascii="楷体" w:hAnsi="楷体" w:eastAsia="楷体" w:cs="楷体"/>
          <w:b/>
          <w:bCs/>
          <w:sz w:val="32"/>
          <w:szCs w:val="32"/>
        </w:rPr>
      </w:pPr>
      <w:r>
        <w:rPr>
          <w:rFonts w:hint="eastAsia" w:ascii="楷体" w:hAnsi="楷体" w:eastAsia="楷体" w:cs="楷体"/>
          <w:b/>
          <w:bCs/>
          <w:color w:val="auto"/>
          <w:spacing w:val="-4"/>
          <w:sz w:val="32"/>
          <w:szCs w:val="32"/>
          <w:lang w:val="en-US" w:eastAsia="zh-CN"/>
        </w:rPr>
        <w:t>2、专项资金管理情况分析，主要包括项目管理制度建设，日常检查监督管理等情况</w:t>
      </w:r>
      <w:r>
        <w:rPr>
          <w:rFonts w:hint="eastAsia" w:ascii="楷体" w:hAnsi="楷体" w:eastAsia="楷体" w:cs="楷体"/>
          <w:b/>
          <w:bCs/>
          <w:color w:val="auto"/>
          <w:spacing w:val="-4"/>
          <w:sz w:val="32"/>
          <w:szCs w:val="32"/>
          <w:lang w:eastAsia="zh-CN"/>
        </w:rPr>
        <w:t>：</w:t>
      </w:r>
      <w:r>
        <w:rPr>
          <w:rFonts w:hint="eastAsia" w:ascii="仿宋" w:hAnsi="仿宋" w:eastAsia="仿宋" w:cs="仿宋"/>
          <w:kern w:val="2"/>
          <w:sz w:val="32"/>
          <w:szCs w:val="32"/>
          <w:lang w:val="en-US" w:eastAsia="zh-CN" w:bidi="ar-SA"/>
        </w:rPr>
        <w:t>我局设有基建专干，项目建设由分管领导负责，通过党组会议的决定负责实施，建设中的各项事宜暂由授权代理人负责。2022年由授权代理人全权参与监督与管理。总之，我局的专项有专人负责，有专项制度与管理办法。</w:t>
      </w:r>
    </w:p>
    <w:p>
      <w:pPr>
        <w:pStyle w:val="11"/>
        <w:keepNext w:val="0"/>
        <w:keepLines w:val="0"/>
        <w:pageBreakBefore w:val="0"/>
        <w:widowControl w:val="0"/>
        <w:numPr>
          <w:ilvl w:val="0"/>
          <w:numId w:val="2"/>
        </w:numPr>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rPr>
        <w:t>存在的问题及原因分析</w:t>
      </w:r>
    </w:p>
    <w:p>
      <w:pPr>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提升绩效管理意识：强调项目开展落实到资料审核与现场勘查两项重要环节，采取不定期检查和定期考核的方式对项目实施质量进行过程把控，确保项目绩效目标的完成。</w:t>
      </w:r>
    </w:p>
    <w:p>
      <w:pPr>
        <w:pStyle w:val="2"/>
        <w:rPr>
          <w:rFonts w:hint="eastAsia" w:ascii="Times New Roman" w:hAnsi="Times New Roman" w:eastAsia="仿宋_GB2312" w:cs="Times New Roman"/>
          <w:kern w:val="2"/>
          <w:sz w:val="32"/>
          <w:szCs w:val="32"/>
          <w:lang w:val="en-US" w:eastAsia="zh-CN" w:bidi="ar-SA"/>
        </w:rPr>
      </w:pPr>
    </w:p>
    <w:p>
      <w:pPr>
        <w:pStyle w:val="2"/>
        <w:rPr>
          <w:rFonts w:hint="eastAsia" w:ascii="Times New Roman" w:hAnsi="Times New Roman" w:eastAsia="仿宋_GB2312" w:cs="Times New Roman"/>
          <w:kern w:val="2"/>
          <w:sz w:val="32"/>
          <w:szCs w:val="32"/>
          <w:lang w:val="en-US" w:eastAsia="zh-CN" w:bidi="ar-SA"/>
        </w:rPr>
      </w:pPr>
    </w:p>
    <w:p>
      <w:pPr>
        <w:pStyle w:val="2"/>
        <w:rPr>
          <w:rFonts w:hint="eastAsia" w:ascii="Times New Roman" w:hAnsi="Times New Roman" w:eastAsia="仿宋_GB2312" w:cs="Times New Roman"/>
          <w:kern w:val="2"/>
          <w:sz w:val="32"/>
          <w:szCs w:val="32"/>
          <w:lang w:val="en-US" w:eastAsia="zh-CN" w:bidi="ar-SA"/>
        </w:rPr>
      </w:pPr>
    </w:p>
    <w:p>
      <w:pPr>
        <w:pStyle w:val="2"/>
        <w:rPr>
          <w:rFonts w:hint="eastAsia" w:ascii="Times New Roman" w:hAnsi="Times New Roman" w:eastAsia="仿宋_GB2312" w:cs="Times New Roman"/>
          <w:kern w:val="2"/>
          <w:sz w:val="32"/>
          <w:szCs w:val="32"/>
          <w:lang w:val="en-US" w:eastAsia="zh-CN" w:bidi="ar-SA"/>
        </w:rPr>
      </w:pPr>
    </w:p>
    <w:p>
      <w:pPr>
        <w:pStyle w:val="2"/>
        <w:rPr>
          <w:rFonts w:hint="eastAsia" w:ascii="Times New Roman" w:hAnsi="Times New Roman" w:eastAsia="仿宋_GB2312" w:cs="Times New Roman"/>
          <w:kern w:val="2"/>
          <w:sz w:val="32"/>
          <w:szCs w:val="32"/>
          <w:lang w:val="en-US" w:eastAsia="zh-CN" w:bidi="ar-SA"/>
        </w:rPr>
      </w:pPr>
    </w:p>
    <w:p>
      <w:pPr>
        <w:pStyle w:val="2"/>
        <w:rPr>
          <w:rFonts w:hint="eastAsia" w:ascii="Times New Roman" w:hAnsi="Times New Roman" w:eastAsia="仿宋_GB2312" w:cs="Times New Roman"/>
          <w:kern w:val="2"/>
          <w:sz w:val="32"/>
          <w:szCs w:val="32"/>
          <w:lang w:val="en-US" w:eastAsia="zh-CN" w:bidi="ar-SA"/>
        </w:rPr>
      </w:pPr>
    </w:p>
    <w:p>
      <w:pPr>
        <w:pStyle w:val="2"/>
        <w:rPr>
          <w:rFonts w:hint="eastAsia" w:ascii="Times New Roman" w:hAnsi="Times New Roman" w:eastAsia="仿宋_GB2312" w:cs="Times New Roman"/>
          <w:kern w:val="2"/>
          <w:sz w:val="32"/>
          <w:szCs w:val="32"/>
          <w:lang w:val="en-US" w:eastAsia="zh-CN" w:bidi="ar-SA"/>
        </w:rPr>
      </w:pPr>
    </w:p>
    <w:p>
      <w:pPr>
        <w:pStyle w:val="2"/>
        <w:rPr>
          <w:rFonts w:hint="default" w:ascii="Times New Roman" w:hAnsi="Times New Roman" w:eastAsia="仿宋_GB2312" w:cs="Times New Roman"/>
          <w:kern w:val="2"/>
          <w:sz w:val="32"/>
          <w:szCs w:val="32"/>
          <w:lang w:val="en-US" w:eastAsia="zh-CN" w:bidi="ar-SA"/>
        </w:rPr>
      </w:pPr>
    </w:p>
    <w:p>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p>
    <w:p>
      <w:pPr>
        <w:pStyle w:val="11"/>
        <w:keepNext w:val="0"/>
        <w:keepLines w:val="0"/>
        <w:pageBreakBefore w:val="0"/>
        <w:widowControl w:val="0"/>
        <w:numPr>
          <w:ilvl w:val="0"/>
          <w:numId w:val="0"/>
        </w:numPr>
        <w:kinsoku/>
        <w:wordWrap/>
        <w:overflowPunct/>
        <w:topLinePunct w:val="0"/>
        <w:bidi w:val="0"/>
        <w:snapToGrid/>
        <w:spacing w:line="600" w:lineRule="exact"/>
        <w:jc w:val="left"/>
        <w:textAlignment w:val="auto"/>
        <w:rPr>
          <w:rFonts w:hint="eastAsia" w:ascii="楷体" w:hAnsi="楷体" w:eastAsia="楷体" w:cs="楷体"/>
          <w:b/>
          <w:bCs/>
          <w:sz w:val="32"/>
          <w:szCs w:val="32"/>
        </w:rPr>
      </w:pPr>
    </w:p>
    <w:p>
      <w:pPr>
        <w:pStyle w:val="11"/>
        <w:rPr>
          <w:rFonts w:asciiTheme="minorEastAsia" w:hAnsiTheme="minorEastAsia" w:eastAsiaTheme="minorEastAsia"/>
          <w:sz w:val="32"/>
          <w:szCs w:val="32"/>
        </w:rPr>
      </w:pPr>
    </w:p>
    <w:p>
      <w:pPr>
        <w:pStyle w:val="11"/>
        <w:rPr>
          <w:rFonts w:asciiTheme="minorEastAsia" w:hAnsiTheme="minorEastAsia" w:eastAsiaTheme="minorEastAsia"/>
          <w:sz w:val="32"/>
          <w:szCs w:val="32"/>
        </w:rPr>
      </w:pPr>
    </w:p>
    <w:p>
      <w:pPr>
        <w:pStyle w:val="11"/>
        <w:rPr>
          <w:rFonts w:asciiTheme="minorEastAsia" w:hAnsiTheme="minorEastAsia" w:eastAsiaTheme="minorEastAsia"/>
          <w:sz w:val="32"/>
          <w:szCs w:val="32"/>
        </w:rPr>
      </w:pPr>
    </w:p>
    <w:p>
      <w:pPr>
        <w:pStyle w:val="11"/>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rFonts w:hint="eastAsia"/>
          <w:sz w:val="72"/>
          <w:szCs w:val="72"/>
        </w:rPr>
      </w:pP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jc w:val="center"/>
        <w:rPr>
          <w:rFonts w:ascii="黑体" w:eastAsia="黑体" w:cs="黑体"/>
          <w:color w:val="000000"/>
          <w:kern w:val="0"/>
          <w:sz w:val="70"/>
          <w:szCs w:val="70"/>
        </w:rPr>
      </w:pPr>
    </w:p>
    <w:p>
      <w:pPr>
        <w:ind w:firstLine="640" w:firstLineChars="200"/>
        <w:jc w:val="left"/>
        <w:rPr>
          <w:rFonts w:hint="eastAsia" w:cs="黑体" w:asciiTheme="minorEastAsia" w:hAnsiTheme="minorEastAsia" w:eastAsiaTheme="minorEastAsia"/>
          <w:color w:val="000000"/>
          <w:kern w:val="0"/>
          <w:sz w:val="32"/>
          <w:szCs w:val="32"/>
          <w:lang w:eastAsia="zh-CN"/>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93B7F"/>
    <w:multiLevelType w:val="singleLevel"/>
    <w:tmpl w:val="2E493B7F"/>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ODdhYTcwOGUwMWU0MThjYzYzYzc1N2I1MmU5NDA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85B23"/>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1A24F4"/>
    <w:rsid w:val="014D4677"/>
    <w:rsid w:val="0159126E"/>
    <w:rsid w:val="020D5B8A"/>
    <w:rsid w:val="035812C6"/>
    <w:rsid w:val="035B33C7"/>
    <w:rsid w:val="03C03826"/>
    <w:rsid w:val="0487152E"/>
    <w:rsid w:val="04E66EF9"/>
    <w:rsid w:val="050F0848"/>
    <w:rsid w:val="0600296F"/>
    <w:rsid w:val="06B80781"/>
    <w:rsid w:val="07726BE5"/>
    <w:rsid w:val="08162D9E"/>
    <w:rsid w:val="09A17C56"/>
    <w:rsid w:val="09FE57CE"/>
    <w:rsid w:val="0AE941D3"/>
    <w:rsid w:val="0B3D6E9F"/>
    <w:rsid w:val="0B4B116C"/>
    <w:rsid w:val="0B50214B"/>
    <w:rsid w:val="0D766835"/>
    <w:rsid w:val="0DB24A71"/>
    <w:rsid w:val="0E3E7DE0"/>
    <w:rsid w:val="0F203F97"/>
    <w:rsid w:val="0F256C33"/>
    <w:rsid w:val="0F362BEE"/>
    <w:rsid w:val="10605573"/>
    <w:rsid w:val="107F25BC"/>
    <w:rsid w:val="10CF355A"/>
    <w:rsid w:val="113A4C18"/>
    <w:rsid w:val="11920286"/>
    <w:rsid w:val="1250515A"/>
    <w:rsid w:val="127001C5"/>
    <w:rsid w:val="129A52ED"/>
    <w:rsid w:val="134C5C8A"/>
    <w:rsid w:val="14217D71"/>
    <w:rsid w:val="142F1F9C"/>
    <w:rsid w:val="14A800EA"/>
    <w:rsid w:val="16390B2A"/>
    <w:rsid w:val="16D76A65"/>
    <w:rsid w:val="16F438A5"/>
    <w:rsid w:val="18552337"/>
    <w:rsid w:val="1990114D"/>
    <w:rsid w:val="1A9C00C1"/>
    <w:rsid w:val="1ADB2B80"/>
    <w:rsid w:val="1BCF15F4"/>
    <w:rsid w:val="1C0D6F61"/>
    <w:rsid w:val="1D8316F5"/>
    <w:rsid w:val="1EF503D0"/>
    <w:rsid w:val="1FF84C10"/>
    <w:rsid w:val="20052C14"/>
    <w:rsid w:val="200829CB"/>
    <w:rsid w:val="20F12E19"/>
    <w:rsid w:val="215C37A2"/>
    <w:rsid w:val="21814269"/>
    <w:rsid w:val="22421B7E"/>
    <w:rsid w:val="24F1163A"/>
    <w:rsid w:val="255014DD"/>
    <w:rsid w:val="27F531EF"/>
    <w:rsid w:val="27FA25B3"/>
    <w:rsid w:val="29B449E4"/>
    <w:rsid w:val="2A2C213C"/>
    <w:rsid w:val="2A8924E9"/>
    <w:rsid w:val="2CF777B2"/>
    <w:rsid w:val="2DA03C2C"/>
    <w:rsid w:val="2DD60CDB"/>
    <w:rsid w:val="2F503401"/>
    <w:rsid w:val="30093AB6"/>
    <w:rsid w:val="30AE6631"/>
    <w:rsid w:val="31011041"/>
    <w:rsid w:val="31B85219"/>
    <w:rsid w:val="328C29A2"/>
    <w:rsid w:val="32C6440B"/>
    <w:rsid w:val="334967F4"/>
    <w:rsid w:val="340507F1"/>
    <w:rsid w:val="34A00B9B"/>
    <w:rsid w:val="34BA1A48"/>
    <w:rsid w:val="352C13F4"/>
    <w:rsid w:val="35C4598D"/>
    <w:rsid w:val="35DF41B3"/>
    <w:rsid w:val="36710963"/>
    <w:rsid w:val="3718034F"/>
    <w:rsid w:val="379B059B"/>
    <w:rsid w:val="37FC4126"/>
    <w:rsid w:val="389775FB"/>
    <w:rsid w:val="39DA3FF3"/>
    <w:rsid w:val="3A275C7E"/>
    <w:rsid w:val="3A4B1C0E"/>
    <w:rsid w:val="3A5913BB"/>
    <w:rsid w:val="3A852E75"/>
    <w:rsid w:val="3A863FA8"/>
    <w:rsid w:val="3A9575DC"/>
    <w:rsid w:val="3B6E533A"/>
    <w:rsid w:val="3B7A3EA9"/>
    <w:rsid w:val="3BB450ED"/>
    <w:rsid w:val="3C8B4437"/>
    <w:rsid w:val="3D9025F8"/>
    <w:rsid w:val="3E3A47C4"/>
    <w:rsid w:val="40EE65D6"/>
    <w:rsid w:val="42DA5063"/>
    <w:rsid w:val="44427364"/>
    <w:rsid w:val="44B709C0"/>
    <w:rsid w:val="44F50FC6"/>
    <w:rsid w:val="455563DD"/>
    <w:rsid w:val="466435C2"/>
    <w:rsid w:val="469A6746"/>
    <w:rsid w:val="46F30DEA"/>
    <w:rsid w:val="47515FD1"/>
    <w:rsid w:val="47AF53A3"/>
    <w:rsid w:val="4876582E"/>
    <w:rsid w:val="489529B5"/>
    <w:rsid w:val="499C12C5"/>
    <w:rsid w:val="4A9338E4"/>
    <w:rsid w:val="4BA04D6B"/>
    <w:rsid w:val="4C04206C"/>
    <w:rsid w:val="4C377D59"/>
    <w:rsid w:val="4D9549A9"/>
    <w:rsid w:val="4E8A2033"/>
    <w:rsid w:val="4E995E54"/>
    <w:rsid w:val="4EC70063"/>
    <w:rsid w:val="50C00B13"/>
    <w:rsid w:val="51392821"/>
    <w:rsid w:val="51D02C4A"/>
    <w:rsid w:val="51E376BE"/>
    <w:rsid w:val="51E657D3"/>
    <w:rsid w:val="523730CC"/>
    <w:rsid w:val="52F908CE"/>
    <w:rsid w:val="530D23B3"/>
    <w:rsid w:val="534C5B09"/>
    <w:rsid w:val="538F3D0B"/>
    <w:rsid w:val="54F55D2D"/>
    <w:rsid w:val="55161382"/>
    <w:rsid w:val="55381D24"/>
    <w:rsid w:val="556233C2"/>
    <w:rsid w:val="560F72DD"/>
    <w:rsid w:val="562F6439"/>
    <w:rsid w:val="567B29B7"/>
    <w:rsid w:val="568153A5"/>
    <w:rsid w:val="59D9376A"/>
    <w:rsid w:val="5A2E6A33"/>
    <w:rsid w:val="5A874E04"/>
    <w:rsid w:val="5B307ABF"/>
    <w:rsid w:val="5B4D68C3"/>
    <w:rsid w:val="5BB1355B"/>
    <w:rsid w:val="5CC20BEA"/>
    <w:rsid w:val="5E186674"/>
    <w:rsid w:val="5F1A1C93"/>
    <w:rsid w:val="5F671218"/>
    <w:rsid w:val="5F9C4D47"/>
    <w:rsid w:val="5FE765B8"/>
    <w:rsid w:val="60BE3DA6"/>
    <w:rsid w:val="610261B7"/>
    <w:rsid w:val="61E233B7"/>
    <w:rsid w:val="63431178"/>
    <w:rsid w:val="63A628E3"/>
    <w:rsid w:val="63BC45E5"/>
    <w:rsid w:val="65184477"/>
    <w:rsid w:val="65534AD5"/>
    <w:rsid w:val="65554CF2"/>
    <w:rsid w:val="656C0352"/>
    <w:rsid w:val="65AE6817"/>
    <w:rsid w:val="65B31A18"/>
    <w:rsid w:val="65FE0EE5"/>
    <w:rsid w:val="66154340"/>
    <w:rsid w:val="665E7BD6"/>
    <w:rsid w:val="685724D9"/>
    <w:rsid w:val="68886757"/>
    <w:rsid w:val="68CA3301"/>
    <w:rsid w:val="6A837C0B"/>
    <w:rsid w:val="6BF012D0"/>
    <w:rsid w:val="6C13543F"/>
    <w:rsid w:val="6C2A7F7E"/>
    <w:rsid w:val="6CB4334D"/>
    <w:rsid w:val="6CDC6C95"/>
    <w:rsid w:val="6D836174"/>
    <w:rsid w:val="6ED375DD"/>
    <w:rsid w:val="6F770CC7"/>
    <w:rsid w:val="6FE412D4"/>
    <w:rsid w:val="70096E04"/>
    <w:rsid w:val="709D27D9"/>
    <w:rsid w:val="70B87578"/>
    <w:rsid w:val="70BF3967"/>
    <w:rsid w:val="71031AA6"/>
    <w:rsid w:val="710B75BA"/>
    <w:rsid w:val="723637B5"/>
    <w:rsid w:val="72530DD3"/>
    <w:rsid w:val="727B2F78"/>
    <w:rsid w:val="729624A5"/>
    <w:rsid w:val="7330146C"/>
    <w:rsid w:val="73AE3045"/>
    <w:rsid w:val="745A581B"/>
    <w:rsid w:val="74FF61B2"/>
    <w:rsid w:val="75AF6F00"/>
    <w:rsid w:val="75F3383E"/>
    <w:rsid w:val="75FA197F"/>
    <w:rsid w:val="764935A3"/>
    <w:rsid w:val="77823188"/>
    <w:rsid w:val="77877BF2"/>
    <w:rsid w:val="78674E40"/>
    <w:rsid w:val="789B3CC7"/>
    <w:rsid w:val="78DB2ADD"/>
    <w:rsid w:val="7A083C89"/>
    <w:rsid w:val="7A8377B3"/>
    <w:rsid w:val="7B713AB0"/>
    <w:rsid w:val="7C5D732F"/>
    <w:rsid w:val="7EC44264"/>
    <w:rsid w:val="7F740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before="260" w:after="260" w:line="416" w:lineRule="auto"/>
      <w:outlineLvl w:val="2"/>
    </w:pPr>
    <w:rPr>
      <w:rFonts w:ascii="Calibri" w:hAnsi="Calibri" w:cs="Calibr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Times New Roman" w:hAnsi="Times New Roman"/>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font21"/>
    <w:basedOn w:val="8"/>
    <w:qFormat/>
    <w:uiPriority w:val="0"/>
    <w:rPr>
      <w:rFonts w:hint="eastAsia" w:ascii="宋体" w:hAnsi="宋体" w:eastAsia="宋体" w:cs="宋体"/>
      <w:color w:val="000000"/>
      <w:sz w:val="24"/>
      <w:szCs w:val="24"/>
      <w:u w:val="none"/>
    </w:rPr>
  </w:style>
  <w:style w:type="character" w:customStyle="1" w:styleId="16">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8947</Words>
  <Characters>11308</Characters>
  <Lines>69</Lines>
  <Paragraphs>19</Paragraphs>
  <TotalTime>0</TotalTime>
  <ScaleCrop>false</ScaleCrop>
  <LinksUpToDate>false</LinksUpToDate>
  <CharactersWithSpaces>12144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Anna</cp:lastModifiedBy>
  <cp:lastPrinted>2022-07-27T12:55:00Z</cp:lastPrinted>
  <dcterms:modified xsi:type="dcterms:W3CDTF">2023-10-23T02:58:30Z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52EBFEE63D724D58813834A8AF4CF191</vt:lpwstr>
  </property>
</Properties>
</file>