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p>
    <w:p>
      <w:pPr>
        <w:pStyle w:val="9"/>
        <w:jc w:val="center"/>
        <w:rPr>
          <w:rFonts w:ascii="Calibri" w:eastAsia="宋体" w:cs="Times New Roman"/>
          <w:b/>
          <w:color w:val="auto"/>
          <w:kern w:val="2"/>
          <w:sz w:val="48"/>
          <w:szCs w:val="48"/>
        </w:rPr>
      </w:pPr>
    </w:p>
    <w:p>
      <w:pPr>
        <w:pStyle w:val="9"/>
        <w:jc w:val="center"/>
        <w:rPr>
          <w:rFonts w:ascii="Calibri" w:eastAsia="宋体" w:cs="Times New Roman"/>
          <w:b/>
          <w:color w:val="auto"/>
          <w:kern w:val="2"/>
          <w:sz w:val="48"/>
          <w:szCs w:val="48"/>
        </w:rPr>
      </w:pPr>
    </w:p>
    <w:p>
      <w:pPr>
        <w:pStyle w:val="9"/>
        <w:jc w:val="center"/>
        <w:rPr>
          <w:rFonts w:ascii="Calibri" w:eastAsia="宋体" w:cs="Times New Roman"/>
          <w:b/>
          <w:color w:val="auto"/>
          <w:kern w:val="2"/>
          <w:sz w:val="48"/>
          <w:szCs w:val="48"/>
        </w:rPr>
      </w:pPr>
      <w:r>
        <w:rPr>
          <w:rFonts w:ascii="Calibri" w:eastAsia="宋体" w:cs="Times New Roman"/>
          <w:b/>
          <w:color w:val="auto"/>
          <w:kern w:val="2"/>
          <w:sz w:val="48"/>
          <w:szCs w:val="48"/>
        </w:rPr>
        <w:t>2020</w:t>
      </w:r>
      <w:r>
        <w:rPr>
          <w:rFonts w:hint="eastAsia" w:ascii="Calibri" w:eastAsia="宋体" w:cs="Times New Roman"/>
          <w:b/>
          <w:color w:val="auto"/>
          <w:kern w:val="2"/>
          <w:sz w:val="48"/>
          <w:szCs w:val="48"/>
        </w:rPr>
        <w:t>年度</w:t>
      </w:r>
    </w:p>
    <w:p>
      <w:pPr>
        <w:pStyle w:val="9"/>
        <w:spacing w:line="160" w:lineRule="exact"/>
        <w:jc w:val="center"/>
        <w:rPr>
          <w:rFonts w:ascii="Calibri" w:eastAsia="宋体" w:cs="Times New Roman"/>
          <w:b/>
          <w:color w:val="auto"/>
          <w:kern w:val="2"/>
          <w:sz w:val="48"/>
          <w:szCs w:val="48"/>
        </w:rPr>
      </w:pPr>
    </w:p>
    <w:p>
      <w:pPr>
        <w:pStyle w:val="9"/>
        <w:jc w:val="center"/>
        <w:rPr>
          <w:rFonts w:ascii="Calibri" w:eastAsia="宋体" w:cs="Times New Roman"/>
          <w:b/>
          <w:color w:val="auto"/>
          <w:kern w:val="2"/>
          <w:sz w:val="48"/>
          <w:szCs w:val="48"/>
        </w:rPr>
      </w:pPr>
      <w:r>
        <w:rPr>
          <w:rFonts w:hint="eastAsia" w:ascii="Calibri" w:eastAsia="宋体" w:cs="Times New Roman"/>
          <w:b/>
          <w:color w:val="auto"/>
          <w:kern w:val="2"/>
          <w:sz w:val="48"/>
          <w:szCs w:val="48"/>
        </w:rPr>
        <w:t>沅江市自然资源局部门决算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ind w:firstLine="4879" w:firstLineChars="1350"/>
        <w:rPr>
          <w:rFonts w:ascii="宋体" w:hAnsi="宋体" w:eastAsia="宋体" w:cs="仿宋_GB2312"/>
          <w:b/>
          <w:sz w:val="36"/>
          <w:szCs w:val="36"/>
        </w:rPr>
      </w:pPr>
      <w:r>
        <w:rPr>
          <w:rFonts w:hint="eastAsia" w:ascii="宋体" w:hAnsi="宋体" w:eastAsia="宋体" w:cs="仿宋_GB2312"/>
          <w:b/>
          <w:sz w:val="36"/>
          <w:szCs w:val="36"/>
        </w:rPr>
        <w:t>目</w:t>
      </w:r>
      <w:r>
        <w:rPr>
          <w:rFonts w:ascii="宋体" w:hAnsi="宋体" w:eastAsia="宋体" w:cs="仿宋_GB2312"/>
          <w:b/>
          <w:sz w:val="36"/>
          <w:szCs w:val="36"/>
        </w:rPr>
        <w:t xml:space="preserve"> </w:t>
      </w:r>
      <w:r>
        <w:rPr>
          <w:rFonts w:hint="eastAsia" w:ascii="宋体" w:hAnsi="宋体" w:eastAsia="宋体" w:cs="仿宋_GB2312"/>
          <w:b/>
          <w:sz w:val="36"/>
          <w:szCs w:val="36"/>
        </w:rPr>
        <w:t>录</w:t>
      </w:r>
    </w:p>
    <w:p>
      <w:pPr>
        <w:pStyle w:val="9"/>
        <w:spacing w:line="500" w:lineRule="exact"/>
        <w:rPr>
          <w:rFonts w:ascii="宋体" w:hAnsi="宋体" w:eastAsia="宋体" w:cs="仿宋_GB2312"/>
          <w:b/>
        </w:rPr>
      </w:pPr>
      <w:r>
        <w:rPr>
          <w:rFonts w:hint="eastAsia" w:ascii="宋体" w:hAnsi="宋体" w:eastAsia="宋体" w:cs="仿宋_GB2312"/>
          <w:b/>
        </w:rPr>
        <w:t>第一部分沅江市国土资源局概况</w:t>
      </w:r>
    </w:p>
    <w:p>
      <w:pPr>
        <w:pStyle w:val="9"/>
        <w:spacing w:line="500" w:lineRule="exact"/>
        <w:ind w:firstLine="600" w:firstLineChars="250"/>
        <w:rPr>
          <w:rFonts w:ascii="宋体" w:hAnsi="宋体" w:eastAsia="宋体" w:cs="仿宋_GB2312"/>
        </w:rPr>
      </w:pPr>
      <w:r>
        <w:rPr>
          <w:rFonts w:hint="eastAsia" w:ascii="宋体" w:hAnsi="宋体" w:eastAsia="宋体" w:cs="仿宋_GB2312"/>
        </w:rPr>
        <w:t>一、部门职责</w:t>
      </w:r>
    </w:p>
    <w:p>
      <w:pPr>
        <w:pStyle w:val="9"/>
        <w:spacing w:line="500" w:lineRule="exact"/>
        <w:ind w:firstLine="600" w:firstLineChars="250"/>
        <w:rPr>
          <w:rFonts w:ascii="宋体" w:hAnsi="宋体" w:eastAsia="宋体" w:cs="仿宋_GB2312"/>
        </w:rPr>
      </w:pPr>
      <w:r>
        <w:rPr>
          <w:rFonts w:hint="eastAsia" w:ascii="宋体" w:hAnsi="宋体" w:eastAsia="宋体" w:cs="仿宋_GB2312"/>
        </w:rPr>
        <w:t>二、机构设置</w:t>
      </w:r>
    </w:p>
    <w:p>
      <w:pPr>
        <w:pStyle w:val="9"/>
        <w:spacing w:line="500" w:lineRule="exact"/>
        <w:rPr>
          <w:rFonts w:ascii="宋体" w:hAnsi="宋体" w:eastAsia="宋体" w:cs="仿宋_GB2312"/>
          <w:b/>
        </w:rPr>
      </w:pPr>
      <w:r>
        <w:rPr>
          <w:rFonts w:hint="eastAsia" w:ascii="宋体" w:hAnsi="宋体" w:eastAsia="宋体" w:cs="仿宋_GB2312"/>
          <w:b/>
        </w:rPr>
        <w:t>第二部分</w:t>
      </w:r>
      <w:r>
        <w:rPr>
          <w:rFonts w:ascii="宋体" w:hAnsi="宋体" w:eastAsia="宋体" w:cs="仿宋_GB2312"/>
          <w:b/>
        </w:rPr>
        <w:t>2020</w:t>
      </w:r>
      <w:r>
        <w:rPr>
          <w:rFonts w:hint="eastAsia" w:ascii="宋体" w:hAnsi="宋体" w:eastAsia="宋体" w:cs="仿宋_GB2312"/>
          <w:b/>
        </w:rPr>
        <w:t>年度部门决算表</w:t>
      </w:r>
    </w:p>
    <w:p>
      <w:pPr>
        <w:pStyle w:val="9"/>
        <w:spacing w:line="500" w:lineRule="exact"/>
        <w:ind w:firstLine="600" w:firstLineChars="250"/>
        <w:rPr>
          <w:rFonts w:ascii="宋体" w:hAnsi="宋体" w:eastAsia="宋体" w:cs="仿宋_GB2312"/>
        </w:rPr>
      </w:pPr>
      <w:r>
        <w:rPr>
          <w:rFonts w:hint="eastAsia" w:ascii="宋体" w:hAnsi="宋体" w:eastAsia="宋体" w:cs="仿宋_GB2312"/>
        </w:rPr>
        <w:t>一、收入支出决算总表</w:t>
      </w:r>
    </w:p>
    <w:p>
      <w:pPr>
        <w:pStyle w:val="9"/>
        <w:spacing w:line="500" w:lineRule="exact"/>
        <w:ind w:firstLine="600" w:firstLineChars="250"/>
        <w:rPr>
          <w:rFonts w:ascii="宋体" w:hAnsi="宋体" w:eastAsia="宋体" w:cs="仿宋_GB2312"/>
        </w:rPr>
      </w:pPr>
      <w:r>
        <w:rPr>
          <w:rFonts w:hint="eastAsia" w:ascii="宋体" w:hAnsi="宋体" w:eastAsia="宋体" w:cs="仿宋_GB2312"/>
        </w:rPr>
        <w:t>二、收入决算表</w:t>
      </w:r>
    </w:p>
    <w:p>
      <w:pPr>
        <w:pStyle w:val="9"/>
        <w:spacing w:line="500" w:lineRule="exact"/>
        <w:ind w:firstLine="600" w:firstLineChars="250"/>
        <w:rPr>
          <w:rFonts w:ascii="宋体" w:hAnsi="宋体" w:eastAsia="宋体" w:cs="仿宋_GB2312"/>
        </w:rPr>
      </w:pPr>
      <w:r>
        <w:rPr>
          <w:rFonts w:hint="eastAsia" w:ascii="宋体" w:hAnsi="宋体" w:eastAsia="宋体" w:cs="仿宋_GB2312"/>
        </w:rPr>
        <w:t>三、支出决算表</w:t>
      </w:r>
    </w:p>
    <w:p>
      <w:pPr>
        <w:pStyle w:val="9"/>
        <w:spacing w:line="500" w:lineRule="exact"/>
        <w:ind w:firstLine="600" w:firstLineChars="250"/>
        <w:rPr>
          <w:rFonts w:ascii="宋体" w:hAnsi="宋体" w:eastAsia="宋体" w:cs="仿宋_GB2312"/>
        </w:rPr>
      </w:pPr>
      <w:r>
        <w:rPr>
          <w:rFonts w:hint="eastAsia" w:ascii="宋体" w:hAnsi="宋体" w:eastAsia="宋体" w:cs="仿宋_GB2312"/>
        </w:rPr>
        <w:t>四、财政拨款收入支出决算总表</w:t>
      </w:r>
    </w:p>
    <w:p>
      <w:pPr>
        <w:pStyle w:val="9"/>
        <w:spacing w:line="500" w:lineRule="exact"/>
        <w:ind w:firstLine="600" w:firstLineChars="250"/>
        <w:rPr>
          <w:rFonts w:ascii="宋体" w:hAnsi="宋体" w:eastAsia="宋体" w:cs="仿宋_GB2312"/>
        </w:rPr>
      </w:pPr>
      <w:r>
        <w:rPr>
          <w:rFonts w:hint="eastAsia" w:ascii="宋体" w:hAnsi="宋体" w:eastAsia="宋体" w:cs="仿宋_GB2312"/>
        </w:rPr>
        <w:t>五、一般公共预算财政拨款支出决算表</w:t>
      </w:r>
    </w:p>
    <w:p>
      <w:pPr>
        <w:pStyle w:val="9"/>
        <w:spacing w:line="500" w:lineRule="exact"/>
        <w:ind w:firstLine="600" w:firstLineChars="250"/>
        <w:rPr>
          <w:rFonts w:ascii="宋体" w:hAnsi="宋体" w:eastAsia="宋体" w:cs="仿宋_GB2312"/>
        </w:rPr>
      </w:pPr>
      <w:r>
        <w:rPr>
          <w:rFonts w:hint="eastAsia" w:ascii="宋体" w:hAnsi="宋体" w:eastAsia="宋体" w:cs="仿宋_GB2312"/>
        </w:rPr>
        <w:t>六、一般公共预算财政拨款基本支出决算表</w:t>
      </w:r>
    </w:p>
    <w:p>
      <w:pPr>
        <w:pStyle w:val="9"/>
        <w:spacing w:line="500" w:lineRule="exact"/>
        <w:ind w:firstLine="600" w:firstLineChars="250"/>
        <w:rPr>
          <w:rFonts w:ascii="宋体" w:hAnsi="宋体" w:eastAsia="宋体" w:cs="仿宋_GB2312"/>
        </w:rPr>
      </w:pPr>
      <w:r>
        <w:rPr>
          <w:rFonts w:hint="eastAsia" w:ascii="宋体" w:hAnsi="宋体" w:eastAsia="宋体" w:cs="仿宋_GB2312"/>
        </w:rPr>
        <w:t>七、一般公共预算财政拨款“三公”经费支出决算表</w:t>
      </w:r>
    </w:p>
    <w:p>
      <w:pPr>
        <w:pStyle w:val="9"/>
        <w:spacing w:line="500" w:lineRule="exact"/>
        <w:ind w:firstLine="600" w:firstLineChars="250"/>
        <w:rPr>
          <w:rFonts w:ascii="宋体" w:hAnsi="宋体" w:eastAsia="宋体" w:cs="仿宋_GB2312"/>
        </w:rPr>
      </w:pPr>
      <w:r>
        <w:rPr>
          <w:rFonts w:hint="eastAsia" w:ascii="宋体" w:hAnsi="宋体" w:eastAsia="宋体" w:cs="仿宋_GB2312"/>
        </w:rPr>
        <w:t>八、政府性基金预算财政拨款收入支出决算表</w:t>
      </w:r>
    </w:p>
    <w:p>
      <w:pPr>
        <w:pStyle w:val="9"/>
        <w:spacing w:line="500" w:lineRule="exact"/>
        <w:ind w:firstLine="600" w:firstLineChars="250"/>
        <w:rPr>
          <w:rFonts w:ascii="宋体" w:hAnsi="宋体" w:eastAsia="宋体" w:cs="仿宋_GB2312"/>
        </w:rPr>
      </w:pPr>
      <w:r>
        <w:rPr>
          <w:rFonts w:hint="eastAsia" w:ascii="宋体" w:hAnsi="宋体" w:eastAsia="宋体" w:cs="仿宋_GB2312"/>
        </w:rPr>
        <w:t>九、国有资本经营预算财政拨款支出决算表</w:t>
      </w:r>
    </w:p>
    <w:p>
      <w:pPr>
        <w:pStyle w:val="9"/>
        <w:spacing w:line="500" w:lineRule="exact"/>
        <w:rPr>
          <w:rFonts w:ascii="宋体" w:hAnsi="宋体" w:eastAsia="宋体" w:cs="仿宋_GB2312"/>
          <w:b/>
        </w:rPr>
      </w:pPr>
      <w:r>
        <w:rPr>
          <w:rFonts w:hint="eastAsia" w:ascii="宋体" w:hAnsi="宋体" w:eastAsia="宋体" w:cs="仿宋_GB2312"/>
          <w:b/>
        </w:rPr>
        <w:t>第三部分</w:t>
      </w:r>
      <w:r>
        <w:rPr>
          <w:rFonts w:ascii="宋体" w:hAnsi="宋体" w:eastAsia="宋体" w:cs="仿宋_GB2312"/>
          <w:b/>
        </w:rPr>
        <w:t>2020</w:t>
      </w:r>
      <w:r>
        <w:rPr>
          <w:rFonts w:hint="eastAsia" w:ascii="宋体" w:hAnsi="宋体" w:eastAsia="宋体" w:cs="仿宋_GB2312"/>
          <w:b/>
        </w:rPr>
        <w:t>年度部门决算情况说明</w:t>
      </w:r>
    </w:p>
    <w:p>
      <w:pPr>
        <w:pStyle w:val="9"/>
        <w:spacing w:line="500" w:lineRule="exact"/>
        <w:ind w:firstLine="600" w:firstLineChars="250"/>
        <w:rPr>
          <w:rFonts w:ascii="宋体" w:hAnsi="宋体" w:eastAsia="宋体" w:cs="仿宋_GB2312"/>
        </w:rPr>
      </w:pPr>
      <w:r>
        <w:rPr>
          <w:rFonts w:hint="eastAsia" w:ascii="宋体" w:hAnsi="宋体" w:eastAsia="宋体" w:cs="仿宋_GB2312"/>
        </w:rPr>
        <w:t>一、收入支出决算总体情况说明</w:t>
      </w:r>
    </w:p>
    <w:p>
      <w:pPr>
        <w:spacing w:line="500" w:lineRule="exact"/>
        <w:ind w:firstLine="600" w:firstLineChars="250"/>
        <w:jc w:val="left"/>
        <w:rPr>
          <w:rFonts w:ascii="仿宋_GB2312" w:eastAsia="仿宋_GB2312" w:cs="仿宋_GB2312"/>
          <w:sz w:val="24"/>
          <w:szCs w:val="24"/>
        </w:rPr>
      </w:pPr>
      <w:r>
        <w:rPr>
          <w:rFonts w:hint="eastAsia" w:ascii="仿宋_GB2312" w:hAnsi="仿宋_GB2312" w:cs="仿宋_GB2312"/>
          <w:sz w:val="24"/>
          <w:szCs w:val="24"/>
        </w:rPr>
        <w:t>二、收入决算情况说明</w:t>
      </w:r>
    </w:p>
    <w:p>
      <w:pPr>
        <w:autoSpaceDE w:val="0"/>
        <w:autoSpaceDN w:val="0"/>
        <w:adjustRightInd w:val="0"/>
        <w:spacing w:line="500" w:lineRule="exact"/>
        <w:ind w:firstLine="600" w:firstLineChars="250"/>
        <w:jc w:val="left"/>
        <w:rPr>
          <w:rFonts w:ascii="仿宋_GB2312" w:eastAsia="仿宋_GB2312" w:cs="仿宋_GB2312"/>
          <w:color w:val="000000"/>
          <w:kern w:val="0"/>
          <w:sz w:val="24"/>
          <w:szCs w:val="24"/>
        </w:rPr>
      </w:pPr>
      <w:r>
        <w:rPr>
          <w:rFonts w:hint="eastAsia" w:ascii="仿宋_GB2312" w:hAnsi="仿宋_GB2312" w:cs="仿宋_GB2312"/>
          <w:color w:val="000000"/>
          <w:kern w:val="0"/>
          <w:sz w:val="24"/>
          <w:szCs w:val="24"/>
        </w:rPr>
        <w:t>三、支出决算情况说明</w:t>
      </w:r>
    </w:p>
    <w:p>
      <w:pPr>
        <w:autoSpaceDE w:val="0"/>
        <w:autoSpaceDN w:val="0"/>
        <w:adjustRightInd w:val="0"/>
        <w:spacing w:line="500" w:lineRule="exact"/>
        <w:ind w:firstLine="600" w:firstLineChars="250"/>
        <w:jc w:val="left"/>
        <w:rPr>
          <w:rFonts w:ascii="仿宋_GB2312" w:eastAsia="仿宋_GB2312" w:cs="仿宋_GB2312"/>
          <w:color w:val="000000"/>
          <w:kern w:val="0"/>
          <w:sz w:val="24"/>
          <w:szCs w:val="24"/>
        </w:rPr>
      </w:pPr>
      <w:r>
        <w:rPr>
          <w:rFonts w:hint="eastAsia" w:ascii="仿宋_GB2312" w:hAnsi="仿宋_GB2312" w:cs="仿宋_GB2312"/>
          <w:color w:val="000000"/>
          <w:kern w:val="0"/>
          <w:sz w:val="24"/>
          <w:szCs w:val="24"/>
        </w:rPr>
        <w:t>四、财政拨款收入支出决算总体情况说明</w:t>
      </w:r>
    </w:p>
    <w:p>
      <w:pPr>
        <w:autoSpaceDE w:val="0"/>
        <w:autoSpaceDN w:val="0"/>
        <w:adjustRightInd w:val="0"/>
        <w:spacing w:line="500" w:lineRule="exact"/>
        <w:ind w:firstLine="600" w:firstLineChars="250"/>
        <w:jc w:val="left"/>
        <w:rPr>
          <w:rFonts w:ascii="仿宋_GB2312" w:eastAsia="仿宋_GB2312" w:cs="仿宋_GB2312"/>
          <w:color w:val="000000"/>
          <w:kern w:val="0"/>
          <w:sz w:val="24"/>
          <w:szCs w:val="24"/>
        </w:rPr>
      </w:pPr>
      <w:r>
        <w:rPr>
          <w:rFonts w:hint="eastAsia" w:ascii="仿宋_GB2312" w:hAnsi="仿宋_GB2312" w:cs="仿宋_GB2312"/>
          <w:color w:val="000000"/>
          <w:kern w:val="0"/>
          <w:sz w:val="24"/>
          <w:szCs w:val="24"/>
        </w:rPr>
        <w:t>五、一般公共预算财政拨款支出决算情况说明</w:t>
      </w:r>
    </w:p>
    <w:p>
      <w:pPr>
        <w:autoSpaceDE w:val="0"/>
        <w:autoSpaceDN w:val="0"/>
        <w:adjustRightInd w:val="0"/>
        <w:spacing w:line="500" w:lineRule="exact"/>
        <w:ind w:firstLine="600" w:firstLineChars="250"/>
        <w:jc w:val="left"/>
        <w:rPr>
          <w:rFonts w:ascii="仿宋_GB2312" w:eastAsia="仿宋_GB2312" w:cs="仿宋_GB2312"/>
          <w:color w:val="000000"/>
          <w:kern w:val="0"/>
          <w:sz w:val="24"/>
          <w:szCs w:val="24"/>
        </w:rPr>
      </w:pPr>
      <w:r>
        <w:rPr>
          <w:rFonts w:hint="eastAsia" w:ascii="仿宋_GB2312" w:hAnsi="仿宋_GB2312" w:cs="仿宋_GB2312"/>
          <w:color w:val="000000"/>
          <w:kern w:val="0"/>
          <w:sz w:val="24"/>
          <w:szCs w:val="24"/>
        </w:rPr>
        <w:t>六、一般公共预算财政拨款基本支出决算情况说明</w:t>
      </w:r>
    </w:p>
    <w:p>
      <w:pPr>
        <w:autoSpaceDE w:val="0"/>
        <w:autoSpaceDN w:val="0"/>
        <w:adjustRightInd w:val="0"/>
        <w:spacing w:line="500" w:lineRule="exact"/>
        <w:ind w:firstLine="600" w:firstLineChars="250"/>
        <w:jc w:val="left"/>
        <w:rPr>
          <w:rFonts w:ascii="仿宋_GB2312" w:eastAsia="仿宋_GB2312" w:cs="仿宋_GB2312"/>
          <w:color w:val="000000"/>
          <w:kern w:val="0"/>
          <w:sz w:val="24"/>
          <w:szCs w:val="24"/>
        </w:rPr>
      </w:pPr>
      <w:r>
        <w:rPr>
          <w:rFonts w:hint="eastAsia" w:ascii="仿宋_GB2312" w:hAnsi="仿宋_GB2312" w:cs="仿宋_GB2312"/>
          <w:color w:val="000000"/>
          <w:kern w:val="0"/>
          <w:sz w:val="24"/>
          <w:szCs w:val="24"/>
        </w:rPr>
        <w:t>七、一般公共预算财政拨款三公经费支出决算情况说明</w:t>
      </w:r>
    </w:p>
    <w:p>
      <w:pPr>
        <w:autoSpaceDE w:val="0"/>
        <w:autoSpaceDN w:val="0"/>
        <w:adjustRightInd w:val="0"/>
        <w:spacing w:line="500" w:lineRule="exact"/>
        <w:ind w:firstLine="600" w:firstLineChars="250"/>
        <w:jc w:val="left"/>
        <w:rPr>
          <w:rFonts w:ascii="仿宋_GB2312" w:eastAsia="仿宋_GB2312" w:cs="仿宋_GB2312"/>
          <w:color w:val="000000"/>
          <w:kern w:val="0"/>
          <w:sz w:val="24"/>
          <w:szCs w:val="24"/>
        </w:rPr>
      </w:pPr>
      <w:r>
        <w:rPr>
          <w:rFonts w:hint="eastAsia" w:ascii="仿宋_GB2312" w:hAnsi="仿宋_GB2312" w:cs="仿宋_GB2312"/>
          <w:color w:val="000000"/>
          <w:kern w:val="0"/>
          <w:sz w:val="24"/>
          <w:szCs w:val="24"/>
        </w:rPr>
        <w:t>八、政府性基金预算收入支出决算情况</w:t>
      </w:r>
    </w:p>
    <w:p>
      <w:pPr>
        <w:autoSpaceDE w:val="0"/>
        <w:autoSpaceDN w:val="0"/>
        <w:adjustRightInd w:val="0"/>
        <w:spacing w:line="500" w:lineRule="exact"/>
        <w:ind w:firstLine="600" w:firstLineChars="250"/>
        <w:jc w:val="left"/>
        <w:rPr>
          <w:rFonts w:ascii="仿宋_GB2312" w:eastAsia="仿宋_GB2312" w:cs="仿宋_GB2312"/>
          <w:color w:val="000000"/>
          <w:kern w:val="0"/>
          <w:sz w:val="24"/>
          <w:szCs w:val="24"/>
        </w:rPr>
      </w:pPr>
      <w:r>
        <w:rPr>
          <w:rFonts w:hint="eastAsia" w:ascii="仿宋_GB2312" w:hAnsi="仿宋_GB2312" w:cs="仿宋_GB2312"/>
          <w:color w:val="000000"/>
          <w:kern w:val="0"/>
          <w:sz w:val="24"/>
          <w:szCs w:val="24"/>
        </w:rPr>
        <w:t>九、关于机关运行经费支出说明</w:t>
      </w:r>
    </w:p>
    <w:p>
      <w:pPr>
        <w:autoSpaceDE w:val="0"/>
        <w:autoSpaceDN w:val="0"/>
        <w:adjustRightInd w:val="0"/>
        <w:spacing w:line="500" w:lineRule="exact"/>
        <w:ind w:firstLine="600" w:firstLineChars="250"/>
        <w:jc w:val="left"/>
        <w:rPr>
          <w:rFonts w:ascii="仿宋_GB2312" w:eastAsia="仿宋_GB2312" w:cs="仿宋_GB2312"/>
          <w:color w:val="000000"/>
          <w:kern w:val="0"/>
          <w:sz w:val="24"/>
          <w:szCs w:val="24"/>
        </w:rPr>
      </w:pPr>
      <w:r>
        <w:rPr>
          <w:rFonts w:hint="eastAsia" w:ascii="仿宋_GB2312" w:hAnsi="仿宋_GB2312" w:cs="仿宋_GB2312"/>
          <w:color w:val="000000"/>
          <w:kern w:val="0"/>
          <w:sz w:val="24"/>
          <w:szCs w:val="24"/>
        </w:rPr>
        <w:t>十、一般性支出情况</w:t>
      </w:r>
    </w:p>
    <w:p>
      <w:pPr>
        <w:autoSpaceDE w:val="0"/>
        <w:autoSpaceDN w:val="0"/>
        <w:adjustRightInd w:val="0"/>
        <w:spacing w:line="500" w:lineRule="exact"/>
        <w:ind w:firstLine="600" w:firstLineChars="250"/>
        <w:jc w:val="left"/>
        <w:rPr>
          <w:rFonts w:ascii="仿宋_GB2312" w:eastAsia="仿宋_GB2312" w:cs="仿宋_GB2312"/>
          <w:color w:val="000000"/>
          <w:kern w:val="0"/>
          <w:sz w:val="24"/>
          <w:szCs w:val="24"/>
        </w:rPr>
      </w:pPr>
      <w:r>
        <w:rPr>
          <w:rFonts w:hint="eastAsia" w:ascii="仿宋_GB2312" w:hAnsi="仿宋_GB2312" w:cs="仿宋_GB2312"/>
          <w:color w:val="000000"/>
          <w:kern w:val="0"/>
          <w:sz w:val="24"/>
          <w:szCs w:val="24"/>
        </w:rPr>
        <w:t>十一、关于政府采购支出说明</w:t>
      </w:r>
    </w:p>
    <w:p>
      <w:pPr>
        <w:pStyle w:val="9"/>
        <w:spacing w:line="500" w:lineRule="exact"/>
        <w:ind w:firstLine="600" w:firstLineChars="250"/>
        <w:rPr>
          <w:rFonts w:ascii="仿宋_GB2312" w:hAnsi="仿宋_GB2312" w:eastAsia="宋体" w:cs="仿宋_GB2312"/>
        </w:rPr>
      </w:pPr>
      <w:r>
        <w:rPr>
          <w:rFonts w:hint="eastAsia" w:ascii="仿宋_GB2312" w:hAnsi="仿宋_GB2312" w:eastAsia="宋体" w:cs="仿宋_GB2312"/>
        </w:rPr>
        <w:t>十二、关于国有资产占用情况说明</w:t>
      </w:r>
    </w:p>
    <w:p>
      <w:pPr>
        <w:pStyle w:val="9"/>
        <w:spacing w:line="500" w:lineRule="exact"/>
        <w:ind w:firstLine="600" w:firstLineChars="250"/>
        <w:rPr>
          <w:rFonts w:ascii="仿宋_GB2312" w:hAnsi="仿宋_GB2312" w:eastAsia="宋体" w:cs="仿宋_GB2312"/>
        </w:rPr>
      </w:pPr>
      <w:r>
        <w:rPr>
          <w:rFonts w:hint="eastAsia" w:ascii="仿宋_GB2312" w:hAnsi="仿宋_GB2312" w:eastAsia="宋体" w:cs="仿宋_GB2312"/>
        </w:rPr>
        <w:t>十三、关</w:t>
      </w:r>
      <w:r>
        <w:rPr>
          <w:rFonts w:hint="eastAsia" w:ascii="宋体" w:hAnsi="宋体" w:eastAsia="宋体" w:cs="仿宋_GB2312"/>
        </w:rPr>
        <w:t>于</w:t>
      </w:r>
      <w:r>
        <w:rPr>
          <w:rFonts w:ascii="宋体" w:hAnsi="宋体" w:eastAsia="宋体" w:cs="仿宋_GB2312"/>
        </w:rPr>
        <w:t>2020</w:t>
      </w:r>
      <w:r>
        <w:rPr>
          <w:rFonts w:hint="eastAsia" w:ascii="宋体" w:hAnsi="宋体" w:eastAsia="宋体" w:cs="仿宋_GB2312"/>
        </w:rPr>
        <w:t>年</w:t>
      </w:r>
      <w:r>
        <w:rPr>
          <w:rFonts w:hint="eastAsia" w:ascii="仿宋_GB2312" w:hAnsi="仿宋_GB2312" w:eastAsia="宋体" w:cs="仿宋_GB2312"/>
        </w:rPr>
        <w:t>度预算绩效情况的说明</w:t>
      </w:r>
    </w:p>
    <w:p>
      <w:pPr>
        <w:pStyle w:val="9"/>
        <w:spacing w:line="500" w:lineRule="exact"/>
        <w:rPr>
          <w:rFonts w:ascii="宋体" w:hAnsi="宋体" w:eastAsia="宋体" w:cs="仿宋_GB2312"/>
          <w:b/>
        </w:rPr>
      </w:pPr>
      <w:r>
        <w:rPr>
          <w:rFonts w:hint="eastAsia" w:ascii="宋体" w:hAnsi="宋体" w:eastAsia="宋体" w:cs="仿宋_GB2312"/>
          <w:b/>
        </w:rPr>
        <w:t>第四部分名词解释</w:t>
      </w:r>
    </w:p>
    <w:p>
      <w:pPr>
        <w:pStyle w:val="9"/>
        <w:spacing w:line="500" w:lineRule="exact"/>
        <w:rPr>
          <w:rFonts w:ascii="宋体" w:hAnsi="宋体" w:eastAsia="宋体" w:cs="仿宋_GB2312"/>
          <w:b/>
        </w:rPr>
      </w:pPr>
      <w:r>
        <w:rPr>
          <w:rFonts w:hint="eastAsia" w:ascii="宋体" w:hAnsi="宋体" w:eastAsia="宋体" w:cs="仿宋_GB2312"/>
          <w:b/>
        </w:rPr>
        <w:t>第五部分附件</w:t>
      </w:r>
    </w:p>
    <w:p>
      <w:pPr>
        <w:jc w:val="center"/>
        <w:rPr>
          <w:sz w:val="24"/>
          <w:szCs w:val="24"/>
        </w:rPr>
      </w:pPr>
    </w:p>
    <w:p>
      <w:pPr>
        <w:jc w:val="right"/>
        <w:rPr>
          <w:sz w:val="24"/>
          <w:szCs w:val="24"/>
        </w:rPr>
      </w:pPr>
    </w:p>
    <w:p>
      <w:pPr>
        <w:jc w:val="right"/>
        <w:rPr>
          <w:sz w:val="72"/>
          <w:szCs w:val="72"/>
        </w:rPr>
      </w:pPr>
    </w:p>
    <w:p>
      <w:pPr>
        <w:jc w:val="right"/>
        <w:rPr>
          <w:sz w:val="72"/>
          <w:szCs w:val="72"/>
        </w:rPr>
      </w:pPr>
    </w:p>
    <w:p>
      <w:pPr>
        <w:jc w:val="right"/>
        <w:rPr>
          <w:sz w:val="72"/>
          <w:szCs w:val="72"/>
        </w:rPr>
      </w:pPr>
    </w:p>
    <w:p>
      <w:pPr>
        <w:jc w:val="right"/>
        <w:rPr>
          <w:sz w:val="72"/>
          <w:szCs w:val="72"/>
        </w:rPr>
      </w:pPr>
    </w:p>
    <w:p>
      <w:pPr>
        <w:jc w:val="right"/>
        <w:rPr>
          <w:sz w:val="72"/>
          <w:szCs w:val="72"/>
        </w:rPr>
      </w:pPr>
    </w:p>
    <w:p>
      <w:pPr>
        <w:jc w:val="right"/>
        <w:rPr>
          <w:sz w:val="72"/>
          <w:szCs w:val="72"/>
        </w:rPr>
      </w:pPr>
    </w:p>
    <w:p>
      <w:pPr>
        <w:pStyle w:val="9"/>
        <w:jc w:val="center"/>
        <w:rPr>
          <w:rFonts w:ascii="Calibri" w:eastAsia="宋体" w:cs="Times New Roman"/>
          <w:b/>
          <w:color w:val="auto"/>
          <w:kern w:val="2"/>
          <w:sz w:val="48"/>
          <w:szCs w:val="48"/>
        </w:rPr>
      </w:pPr>
      <w:r>
        <w:rPr>
          <w:rFonts w:hint="eastAsia" w:ascii="Calibri" w:eastAsia="宋体" w:cs="Times New Roman"/>
          <w:b/>
          <w:color w:val="auto"/>
          <w:kern w:val="2"/>
          <w:sz w:val="48"/>
          <w:szCs w:val="48"/>
        </w:rPr>
        <w:t>第一部分</w:t>
      </w:r>
    </w:p>
    <w:p>
      <w:pPr>
        <w:pStyle w:val="9"/>
        <w:spacing w:line="160" w:lineRule="exact"/>
        <w:jc w:val="center"/>
        <w:rPr>
          <w:rFonts w:ascii="Calibri" w:eastAsia="宋体" w:cs="Times New Roman"/>
          <w:b/>
          <w:color w:val="auto"/>
          <w:kern w:val="2"/>
          <w:sz w:val="48"/>
          <w:szCs w:val="48"/>
        </w:rPr>
      </w:pPr>
    </w:p>
    <w:p>
      <w:pPr>
        <w:pStyle w:val="9"/>
        <w:jc w:val="center"/>
        <w:rPr>
          <w:rFonts w:ascii="Calibri" w:eastAsia="宋体" w:cs="Times New Roman"/>
          <w:b/>
          <w:color w:val="auto"/>
          <w:kern w:val="2"/>
          <w:sz w:val="48"/>
          <w:szCs w:val="48"/>
        </w:rPr>
      </w:pPr>
      <w:r>
        <w:rPr>
          <w:rFonts w:hint="eastAsia" w:ascii="Calibri" w:eastAsia="宋体" w:cs="Times New Roman"/>
          <w:b/>
          <w:color w:val="auto"/>
          <w:kern w:val="2"/>
          <w:sz w:val="48"/>
          <w:szCs w:val="48"/>
        </w:rPr>
        <w:t>沅江市国土资源局概况</w:t>
      </w:r>
    </w:p>
    <w:p>
      <w:pPr>
        <w:jc w:val="right"/>
        <w:rPr>
          <w:sz w:val="72"/>
          <w:szCs w:val="72"/>
        </w:rPr>
      </w:pPr>
    </w:p>
    <w:p>
      <w:pPr>
        <w:jc w:val="right"/>
        <w:rPr>
          <w:sz w:val="72"/>
          <w:szCs w:val="72"/>
        </w:rPr>
      </w:pPr>
    </w:p>
    <w:p>
      <w:pPr>
        <w:jc w:val="right"/>
        <w:rPr>
          <w:sz w:val="72"/>
          <w:szCs w:val="72"/>
        </w:rPr>
      </w:pPr>
    </w:p>
    <w:p>
      <w:pPr>
        <w:jc w:val="right"/>
        <w:rPr>
          <w:sz w:val="72"/>
          <w:szCs w:val="72"/>
        </w:rPr>
      </w:pPr>
    </w:p>
    <w:p>
      <w:pPr>
        <w:jc w:val="right"/>
        <w:rPr>
          <w:sz w:val="72"/>
          <w:szCs w:val="72"/>
        </w:rPr>
      </w:pPr>
    </w:p>
    <w:p>
      <w:pPr>
        <w:pStyle w:val="10"/>
        <w:ind w:left="720" w:firstLine="0" w:firstLineChars="0"/>
        <w:jc w:val="right"/>
        <w:rPr>
          <w:rFonts w:ascii="黑体" w:hAnsi="黑体" w:eastAsia="黑体"/>
          <w:sz w:val="32"/>
          <w:szCs w:val="32"/>
        </w:rPr>
      </w:pPr>
    </w:p>
    <w:p>
      <w:pPr>
        <w:pStyle w:val="10"/>
        <w:ind w:left="720" w:firstLine="0" w:firstLineChars="0"/>
        <w:jc w:val="right"/>
        <w:rPr>
          <w:rFonts w:ascii="黑体" w:hAnsi="黑体" w:eastAsia="黑体"/>
          <w:sz w:val="32"/>
          <w:szCs w:val="32"/>
        </w:rPr>
      </w:pPr>
    </w:p>
    <w:p>
      <w:pPr>
        <w:pStyle w:val="10"/>
        <w:ind w:left="720" w:firstLine="0" w:firstLineChars="0"/>
        <w:jc w:val="right"/>
        <w:rPr>
          <w:rFonts w:ascii="黑体" w:hAnsi="黑体" w:eastAsia="黑体"/>
          <w:sz w:val="32"/>
          <w:szCs w:val="32"/>
        </w:rPr>
      </w:pPr>
    </w:p>
    <w:p>
      <w:pPr>
        <w:pStyle w:val="10"/>
        <w:ind w:left="720" w:firstLine="0" w:firstLineChars="0"/>
        <w:jc w:val="right"/>
        <w:rPr>
          <w:rFonts w:ascii="黑体" w:hAnsi="黑体" w:eastAsia="黑体"/>
          <w:sz w:val="32"/>
          <w:szCs w:val="32"/>
        </w:rPr>
      </w:pPr>
    </w:p>
    <w:p>
      <w:pPr>
        <w:jc w:val="right"/>
        <w:rPr>
          <w:rFonts w:ascii="黑体" w:hAnsi="黑体" w:eastAsia="黑体"/>
          <w:sz w:val="32"/>
          <w:szCs w:val="32"/>
        </w:rPr>
      </w:pPr>
    </w:p>
    <w:p>
      <w:pPr>
        <w:jc w:val="right"/>
        <w:rPr>
          <w:rFonts w:ascii="黑体" w:hAnsi="黑体" w:eastAsia="黑体"/>
          <w:sz w:val="32"/>
          <w:szCs w:val="32"/>
        </w:rPr>
      </w:pPr>
    </w:p>
    <w:p>
      <w:pPr>
        <w:pStyle w:val="10"/>
        <w:numPr>
          <w:ilvl w:val="0"/>
          <w:numId w:val="1"/>
        </w:numPr>
        <w:ind w:firstLineChars="0"/>
        <w:jc w:val="left"/>
        <w:rPr>
          <w:rFonts w:ascii="黑体" w:hAnsi="黑体" w:eastAsia="黑体"/>
          <w:sz w:val="28"/>
          <w:szCs w:val="28"/>
        </w:rPr>
      </w:pPr>
      <w:r>
        <w:rPr>
          <w:rFonts w:hint="eastAsia" w:ascii="黑体" w:hAnsi="黑体" w:eastAsia="黑体"/>
          <w:sz w:val="28"/>
          <w:szCs w:val="28"/>
        </w:rPr>
        <w:t>部门职责</w:t>
      </w:r>
    </w:p>
    <w:p>
      <w:pPr>
        <w:spacing w:line="360" w:lineRule="auto"/>
        <w:ind w:firstLine="360" w:firstLineChars="150"/>
        <w:jc w:val="left"/>
        <w:rPr>
          <w:rFonts w:ascii="宋体" w:cs="仿宋_GB2312"/>
          <w:color w:val="000000"/>
          <w:kern w:val="0"/>
          <w:sz w:val="24"/>
          <w:szCs w:val="24"/>
        </w:rPr>
      </w:pPr>
      <w:r>
        <w:rPr>
          <w:rFonts w:hint="eastAsia" w:ascii="宋体" w:hAnsi="宋体" w:cs="仿宋_GB2312"/>
          <w:color w:val="000000"/>
          <w:kern w:val="0"/>
          <w:sz w:val="24"/>
          <w:szCs w:val="24"/>
        </w:rPr>
        <w:t>（一）贯彻执行土地资源、矿产资源等自然资源和测绘管理的法律、法规和技术标准、规程、规</w:t>
      </w:r>
    </w:p>
    <w:p>
      <w:pPr>
        <w:spacing w:line="360" w:lineRule="auto"/>
        <w:jc w:val="left"/>
        <w:rPr>
          <w:rFonts w:ascii="宋体" w:cs="仿宋_GB2312"/>
          <w:color w:val="000000"/>
          <w:kern w:val="0"/>
          <w:sz w:val="24"/>
          <w:szCs w:val="24"/>
        </w:rPr>
      </w:pPr>
      <w:r>
        <w:rPr>
          <w:rFonts w:hint="eastAsia" w:ascii="宋体" w:hAnsi="宋体" w:cs="仿宋_GB2312"/>
          <w:color w:val="000000"/>
          <w:kern w:val="0"/>
          <w:sz w:val="24"/>
          <w:szCs w:val="24"/>
        </w:rPr>
        <w:t>范和办法。</w:t>
      </w:r>
      <w:r>
        <w:rPr>
          <w:rFonts w:ascii="宋体" w:hAnsi="宋体" w:cs="仿宋_GB2312"/>
          <w:color w:val="000000"/>
          <w:kern w:val="0"/>
          <w:sz w:val="24"/>
          <w:szCs w:val="24"/>
        </w:rPr>
        <w:t xml:space="preserve">  </w:t>
      </w:r>
    </w:p>
    <w:p>
      <w:pPr>
        <w:spacing w:line="360" w:lineRule="auto"/>
        <w:ind w:firstLine="360" w:firstLineChars="150"/>
        <w:jc w:val="left"/>
        <w:rPr>
          <w:rFonts w:ascii="仿宋_GB2312" w:eastAsia="仿宋_GB2312" w:cs="仿宋_GB2312"/>
          <w:color w:val="000000"/>
          <w:kern w:val="0"/>
          <w:sz w:val="28"/>
          <w:szCs w:val="28"/>
        </w:rPr>
      </w:pPr>
      <w:r>
        <w:rPr>
          <w:rFonts w:hint="eastAsia" w:ascii="宋体" w:hAnsi="宋体" w:cs="仿宋_GB2312"/>
          <w:color w:val="000000"/>
          <w:kern w:val="0"/>
          <w:sz w:val="24"/>
          <w:szCs w:val="24"/>
        </w:rPr>
        <w:t>（二）承担保护和合理利用土地资源、矿产资源等自然资源的责任和规范国土资源管理秩序的责任</w:t>
      </w:r>
      <w:r>
        <w:rPr>
          <w:rFonts w:hint="eastAsia" w:ascii="仿宋_GB2312" w:hAnsi="仿宋_GB2312" w:cs="仿宋_GB2312"/>
          <w:color w:val="000000"/>
          <w:kern w:val="0"/>
          <w:sz w:val="28"/>
          <w:szCs w:val="28"/>
        </w:rPr>
        <w:t>。</w:t>
      </w:r>
    </w:p>
    <w:p>
      <w:pPr>
        <w:spacing w:line="360" w:lineRule="auto"/>
        <w:ind w:firstLine="360" w:firstLineChars="150"/>
        <w:jc w:val="left"/>
        <w:rPr>
          <w:rFonts w:ascii="宋体" w:cs="仿宋_GB2312"/>
          <w:color w:val="000000"/>
          <w:kern w:val="0"/>
          <w:sz w:val="24"/>
          <w:szCs w:val="24"/>
        </w:rPr>
      </w:pPr>
      <w:r>
        <w:rPr>
          <w:rFonts w:hint="eastAsia" w:ascii="宋体" w:hAnsi="宋体" w:cs="仿宋_GB2312"/>
          <w:color w:val="000000"/>
          <w:kern w:val="0"/>
          <w:sz w:val="24"/>
          <w:szCs w:val="24"/>
        </w:rPr>
        <w:t>（三）承担优化配置国土资源的责任。</w:t>
      </w:r>
    </w:p>
    <w:p>
      <w:pPr>
        <w:spacing w:line="360" w:lineRule="auto"/>
        <w:ind w:firstLine="360" w:firstLineChars="150"/>
        <w:jc w:val="left"/>
        <w:rPr>
          <w:rFonts w:ascii="仿宋_GB2312" w:eastAsia="仿宋_GB2312" w:cs="仿宋_GB2312"/>
          <w:color w:val="000000"/>
          <w:kern w:val="0"/>
          <w:sz w:val="28"/>
          <w:szCs w:val="28"/>
        </w:rPr>
      </w:pPr>
      <w:r>
        <w:rPr>
          <w:rFonts w:hint="eastAsia" w:ascii="宋体" w:hAnsi="宋体" w:cs="仿宋_GB2312"/>
          <w:color w:val="000000"/>
          <w:kern w:val="0"/>
          <w:sz w:val="24"/>
          <w:szCs w:val="24"/>
        </w:rPr>
        <w:t>（四）负责规范国土资源权属管理</w:t>
      </w:r>
      <w:r>
        <w:rPr>
          <w:rFonts w:hint="eastAsia" w:ascii="仿宋_GB2312" w:hAnsi="仿宋_GB2312" w:cs="仿宋_GB2312"/>
          <w:color w:val="000000"/>
          <w:kern w:val="0"/>
          <w:sz w:val="28"/>
          <w:szCs w:val="28"/>
        </w:rPr>
        <w:t>。</w:t>
      </w:r>
    </w:p>
    <w:p>
      <w:pPr>
        <w:spacing w:line="360" w:lineRule="auto"/>
        <w:ind w:firstLine="360" w:firstLineChars="150"/>
        <w:jc w:val="left"/>
        <w:rPr>
          <w:rFonts w:ascii="宋体" w:cs="仿宋_GB2312"/>
          <w:color w:val="000000"/>
          <w:kern w:val="0"/>
          <w:sz w:val="28"/>
          <w:szCs w:val="28"/>
        </w:rPr>
      </w:pPr>
      <w:r>
        <w:rPr>
          <w:rFonts w:hint="eastAsia" w:ascii="宋体" w:hAnsi="宋体" w:cs="仿宋_GB2312"/>
          <w:color w:val="000000"/>
          <w:kern w:val="0"/>
          <w:sz w:val="24"/>
          <w:szCs w:val="24"/>
        </w:rPr>
        <w:t>（五）承担全市耕地保护责任，确保规划确定的耕地保有量和基本农田面积不减少</w:t>
      </w:r>
      <w:r>
        <w:rPr>
          <w:rFonts w:hint="eastAsia" w:ascii="宋体" w:hAnsi="宋体" w:cs="仿宋_GB2312"/>
          <w:color w:val="000000"/>
          <w:kern w:val="0"/>
          <w:sz w:val="28"/>
          <w:szCs w:val="28"/>
        </w:rPr>
        <w:t>。</w:t>
      </w:r>
      <w:r>
        <w:rPr>
          <w:rFonts w:ascii="宋体" w:hAnsi="宋体" w:cs="仿宋_GB2312"/>
          <w:color w:val="000000"/>
          <w:kern w:val="0"/>
          <w:sz w:val="28"/>
          <w:szCs w:val="28"/>
        </w:rPr>
        <w:t xml:space="preserve"> </w:t>
      </w:r>
    </w:p>
    <w:p>
      <w:pPr>
        <w:spacing w:line="360" w:lineRule="auto"/>
        <w:ind w:firstLine="360" w:firstLineChars="150"/>
        <w:jc w:val="left"/>
        <w:rPr>
          <w:rFonts w:ascii="宋体" w:cs="仿宋_GB2312"/>
          <w:color w:val="000000"/>
          <w:kern w:val="0"/>
          <w:sz w:val="28"/>
          <w:szCs w:val="28"/>
        </w:rPr>
      </w:pPr>
      <w:r>
        <w:rPr>
          <w:rFonts w:hint="eastAsia" w:ascii="宋体" w:hAnsi="宋体" w:cs="仿宋_GB2312"/>
          <w:color w:val="000000"/>
          <w:kern w:val="0"/>
          <w:sz w:val="24"/>
          <w:szCs w:val="24"/>
        </w:rPr>
        <w:t>（六）承担及时准确提供全市土地利用各种数据的责任</w:t>
      </w:r>
      <w:r>
        <w:rPr>
          <w:rFonts w:hint="eastAsia" w:ascii="宋体" w:hAnsi="宋体" w:cs="仿宋_GB2312"/>
          <w:color w:val="000000"/>
          <w:kern w:val="0"/>
          <w:sz w:val="28"/>
          <w:szCs w:val="28"/>
        </w:rPr>
        <w:t>。</w:t>
      </w:r>
    </w:p>
    <w:p>
      <w:pPr>
        <w:spacing w:line="360" w:lineRule="auto"/>
        <w:ind w:firstLine="360" w:firstLineChars="150"/>
        <w:jc w:val="left"/>
        <w:rPr>
          <w:rFonts w:ascii="宋体" w:cs="仿宋_GB2312"/>
          <w:color w:val="000000"/>
          <w:kern w:val="0"/>
          <w:sz w:val="28"/>
          <w:szCs w:val="28"/>
        </w:rPr>
      </w:pPr>
      <w:r>
        <w:rPr>
          <w:rFonts w:hint="eastAsia" w:ascii="宋体" w:hAnsi="宋体" w:cs="仿宋_GB2312"/>
          <w:color w:val="000000"/>
          <w:kern w:val="0"/>
          <w:sz w:val="24"/>
          <w:szCs w:val="24"/>
        </w:rPr>
        <w:t>（七）承担节约集约利用土地资源的责任</w:t>
      </w:r>
      <w:r>
        <w:rPr>
          <w:rFonts w:hint="eastAsia" w:ascii="宋体" w:hAnsi="宋体" w:cs="仿宋_GB2312"/>
          <w:color w:val="000000"/>
          <w:kern w:val="0"/>
          <w:sz w:val="28"/>
          <w:szCs w:val="28"/>
        </w:rPr>
        <w:t>。</w:t>
      </w:r>
      <w:r>
        <w:rPr>
          <w:rFonts w:ascii="宋体" w:hAnsi="宋体" w:cs="仿宋_GB2312"/>
          <w:color w:val="000000"/>
          <w:kern w:val="0"/>
          <w:sz w:val="28"/>
          <w:szCs w:val="28"/>
        </w:rPr>
        <w:t xml:space="preserve"> </w:t>
      </w:r>
    </w:p>
    <w:p>
      <w:pPr>
        <w:spacing w:line="360" w:lineRule="auto"/>
        <w:ind w:firstLine="360" w:firstLineChars="150"/>
        <w:jc w:val="left"/>
        <w:rPr>
          <w:rFonts w:ascii="宋体" w:cs="仿宋_GB2312"/>
          <w:color w:val="000000"/>
          <w:kern w:val="0"/>
          <w:sz w:val="28"/>
          <w:szCs w:val="28"/>
        </w:rPr>
      </w:pPr>
      <w:r>
        <w:rPr>
          <w:rFonts w:hint="eastAsia" w:ascii="宋体" w:hAnsi="宋体" w:cs="仿宋_GB2312"/>
          <w:color w:val="000000"/>
          <w:kern w:val="0"/>
          <w:sz w:val="24"/>
          <w:szCs w:val="24"/>
        </w:rPr>
        <w:t>（八）承担规范土地、矿业权市场秩序的责任。探矿权监督工作，按规定管理矿产资源补偿费的征收和使用</w:t>
      </w:r>
      <w:r>
        <w:rPr>
          <w:rFonts w:hint="eastAsia" w:ascii="宋体" w:hAnsi="宋体" w:cs="仿宋_GB2312"/>
          <w:color w:val="000000"/>
          <w:kern w:val="0"/>
          <w:sz w:val="28"/>
          <w:szCs w:val="28"/>
        </w:rPr>
        <w:t>。</w:t>
      </w:r>
      <w:r>
        <w:rPr>
          <w:rFonts w:ascii="宋体" w:hAnsi="宋体" w:cs="仿宋_GB2312"/>
          <w:color w:val="000000"/>
          <w:kern w:val="0"/>
          <w:sz w:val="28"/>
          <w:szCs w:val="28"/>
        </w:rPr>
        <w:t xml:space="preserve">   </w:t>
      </w:r>
    </w:p>
    <w:p>
      <w:pPr>
        <w:spacing w:line="360" w:lineRule="auto"/>
        <w:ind w:firstLine="360" w:firstLineChars="150"/>
        <w:jc w:val="left"/>
        <w:rPr>
          <w:rFonts w:ascii="宋体" w:cs="仿宋_GB2312"/>
          <w:color w:val="000000"/>
          <w:kern w:val="0"/>
          <w:sz w:val="24"/>
          <w:szCs w:val="24"/>
        </w:rPr>
      </w:pPr>
      <w:r>
        <w:rPr>
          <w:rFonts w:hint="eastAsia" w:ascii="宋体" w:hAnsi="宋体" w:cs="仿宋_GB2312"/>
          <w:color w:val="000000"/>
          <w:kern w:val="0"/>
          <w:sz w:val="24"/>
          <w:szCs w:val="24"/>
        </w:rPr>
        <w:t>（九）承担规范测绘市场秩序的责任。</w:t>
      </w:r>
    </w:p>
    <w:p>
      <w:pPr>
        <w:spacing w:line="360" w:lineRule="auto"/>
        <w:ind w:firstLine="360" w:firstLineChars="150"/>
        <w:jc w:val="left"/>
        <w:rPr>
          <w:rFonts w:ascii="宋体" w:cs="仿宋_GB2312"/>
          <w:color w:val="000000"/>
          <w:kern w:val="0"/>
          <w:sz w:val="28"/>
          <w:szCs w:val="28"/>
        </w:rPr>
      </w:pPr>
      <w:r>
        <w:rPr>
          <w:rFonts w:hint="eastAsia" w:ascii="宋体" w:hAnsi="宋体" w:cs="仿宋_GB2312"/>
          <w:color w:val="000000"/>
          <w:kern w:val="0"/>
          <w:sz w:val="24"/>
          <w:szCs w:val="24"/>
        </w:rPr>
        <w:t>（十）承担地质环境保护和地质灾害防治、治理的责任。依法组织实施地质环境保</w:t>
      </w:r>
      <w:r>
        <w:rPr>
          <w:rFonts w:hint="eastAsia" w:ascii="宋体" w:hAnsi="宋体" w:cs="仿宋_GB2312"/>
          <w:color w:val="000000"/>
          <w:kern w:val="0"/>
          <w:sz w:val="28"/>
          <w:szCs w:val="28"/>
        </w:rPr>
        <w:t>护；</w:t>
      </w:r>
      <w:r>
        <w:rPr>
          <w:rFonts w:hint="eastAsia" w:ascii="宋体" w:hAnsi="宋体" w:cs="仿宋_GB2312"/>
          <w:color w:val="000000"/>
          <w:kern w:val="0"/>
          <w:sz w:val="24"/>
          <w:szCs w:val="24"/>
        </w:rPr>
        <w:t>组织、协调、指导和监督地质灾害防治工作；监测、防治地质灾害和保护地质遗迹；指导地质灾害应急处置，制定并组织实施地质灾害防灾方案和突发事件应急预案。</w:t>
      </w:r>
      <w:r>
        <w:rPr>
          <w:rFonts w:ascii="宋体" w:hAnsi="宋体" w:cs="仿宋_GB2312"/>
          <w:color w:val="000000"/>
          <w:kern w:val="0"/>
          <w:sz w:val="28"/>
          <w:szCs w:val="28"/>
        </w:rPr>
        <w:t xml:space="preserve">  </w:t>
      </w:r>
    </w:p>
    <w:p>
      <w:pPr>
        <w:spacing w:line="360" w:lineRule="auto"/>
        <w:ind w:firstLine="360" w:firstLineChars="150"/>
        <w:jc w:val="left"/>
        <w:rPr>
          <w:rFonts w:ascii="宋体" w:cs="仿宋_GB2312"/>
          <w:color w:val="000000"/>
          <w:kern w:val="0"/>
          <w:sz w:val="24"/>
          <w:szCs w:val="24"/>
        </w:rPr>
      </w:pPr>
      <w:r>
        <w:rPr>
          <w:rFonts w:hint="eastAsia" w:ascii="宋体" w:hAnsi="宋体" w:cs="仿宋_GB2312"/>
          <w:color w:val="000000"/>
          <w:kern w:val="0"/>
          <w:sz w:val="24"/>
          <w:szCs w:val="24"/>
        </w:rPr>
        <w:t>（十一）管理市级基础地理信息数据，根据授权审核发布本市重要地理信息数据，</w:t>
      </w:r>
      <w:r>
        <w:rPr>
          <w:rFonts w:hint="eastAsia" w:ascii="宋体" w:hAnsi="宋体" w:cs="仿宋_GB2312"/>
          <w:color w:val="000000"/>
          <w:kern w:val="0"/>
          <w:sz w:val="28"/>
          <w:szCs w:val="28"/>
        </w:rPr>
        <w:t>会</w:t>
      </w:r>
      <w:r>
        <w:rPr>
          <w:rFonts w:hint="eastAsia" w:ascii="宋体" w:hAnsi="宋体" w:cs="仿宋_GB2312"/>
          <w:color w:val="000000"/>
          <w:kern w:val="0"/>
          <w:sz w:val="24"/>
          <w:szCs w:val="24"/>
        </w:rPr>
        <w:t>同有关部门编制沅江市行政区界线标准样图，组织指导基础地理信息社会化服务</w:t>
      </w:r>
      <w:r>
        <w:rPr>
          <w:rFonts w:hint="eastAsia" w:ascii="宋体" w:hAnsi="宋体" w:cs="仿宋_GB2312"/>
          <w:color w:val="000000"/>
          <w:kern w:val="0"/>
          <w:sz w:val="28"/>
          <w:szCs w:val="28"/>
        </w:rPr>
        <w:t>；</w:t>
      </w:r>
      <w:r>
        <w:rPr>
          <w:rFonts w:hint="eastAsia" w:ascii="宋体" w:hAnsi="宋体" w:cs="仿宋_GB2312"/>
          <w:color w:val="000000"/>
          <w:kern w:val="0"/>
          <w:sz w:val="24"/>
          <w:szCs w:val="24"/>
        </w:rPr>
        <w:t>管理全市国家测绘基准和测量控制系统</w:t>
      </w:r>
      <w:r>
        <w:rPr>
          <w:rFonts w:hint="eastAsia" w:ascii="宋体" w:hAnsi="宋体" w:cs="仿宋_GB2312"/>
          <w:color w:val="000000"/>
          <w:kern w:val="0"/>
          <w:sz w:val="28"/>
          <w:szCs w:val="28"/>
        </w:rPr>
        <w:t>，</w:t>
      </w:r>
      <w:r>
        <w:rPr>
          <w:rFonts w:hint="eastAsia" w:ascii="宋体" w:hAnsi="宋体" w:cs="仿宋_GB2312"/>
          <w:color w:val="000000"/>
          <w:kern w:val="0"/>
          <w:sz w:val="24"/>
          <w:szCs w:val="24"/>
        </w:rPr>
        <w:t>指导监督各类测绘成果和测量标志的保护</w:t>
      </w:r>
      <w:r>
        <w:rPr>
          <w:rFonts w:hint="eastAsia" w:ascii="宋体" w:hAnsi="宋体" w:cs="仿宋_GB2312"/>
          <w:color w:val="000000"/>
          <w:kern w:val="0"/>
          <w:sz w:val="28"/>
          <w:szCs w:val="28"/>
        </w:rPr>
        <w:t>。</w:t>
      </w:r>
      <w:r>
        <w:rPr>
          <w:rFonts w:ascii="宋体" w:hAnsi="宋体" w:cs="仿宋_GB2312"/>
          <w:color w:val="000000"/>
          <w:kern w:val="0"/>
          <w:sz w:val="24"/>
          <w:szCs w:val="24"/>
        </w:rPr>
        <w:t xml:space="preserve">  </w:t>
      </w:r>
    </w:p>
    <w:p>
      <w:pPr>
        <w:widowControl/>
        <w:spacing w:line="360" w:lineRule="auto"/>
        <w:rPr>
          <w:rFonts w:ascii="宋体" w:cs="仿宋_GB2312"/>
          <w:b/>
          <w:color w:val="000000"/>
          <w:kern w:val="0"/>
          <w:sz w:val="24"/>
          <w:szCs w:val="24"/>
        </w:rPr>
      </w:pPr>
      <w:r>
        <w:rPr>
          <w:rFonts w:hint="eastAsia" w:ascii="宋体" w:hAnsi="宋体" w:cs="仿宋_GB2312"/>
          <w:b/>
          <w:color w:val="000000"/>
          <w:kern w:val="0"/>
          <w:sz w:val="24"/>
          <w:szCs w:val="24"/>
        </w:rPr>
        <w:t>二、机构设置及决算单位构成</w:t>
      </w:r>
    </w:p>
    <w:p>
      <w:pPr>
        <w:widowControl/>
        <w:spacing w:line="360" w:lineRule="auto"/>
        <w:ind w:firstLine="360" w:firstLineChars="150"/>
        <w:rPr>
          <w:rFonts w:ascii="宋体" w:hAnsi="宋体" w:cs="仿宋_GB2312"/>
          <w:color w:val="000000"/>
          <w:kern w:val="0"/>
          <w:sz w:val="24"/>
          <w:szCs w:val="24"/>
        </w:rPr>
      </w:pPr>
      <w:r>
        <w:rPr>
          <w:rFonts w:hint="eastAsia" w:ascii="宋体" w:hAnsi="宋体" w:cs="仿宋_GB2312"/>
          <w:color w:val="000000"/>
          <w:kern w:val="0"/>
          <w:sz w:val="24"/>
          <w:szCs w:val="24"/>
        </w:rPr>
        <w:t>（一）内设机构设置。沅江市国土资源局内设机构股室包括：办公室、人事股、财务股、法规股、自然资源调查确权监测股、国土空间股、国土空间用途管制股等股室；下设沅江市不动产登记中心，沅江市征地拆迁所，沅江市地籍测量、沅江市地产交易中心等二级机构。</w:t>
      </w:r>
    </w:p>
    <w:p>
      <w:pPr>
        <w:jc w:val="right"/>
        <w:rPr>
          <w:sz w:val="72"/>
          <w:szCs w:val="72"/>
        </w:rPr>
      </w:pPr>
    </w:p>
    <w:p>
      <w:pPr>
        <w:jc w:val="right"/>
        <w:rPr>
          <w:b/>
          <w:sz w:val="72"/>
          <w:szCs w:val="72"/>
        </w:rPr>
      </w:pPr>
    </w:p>
    <w:p>
      <w:pPr>
        <w:jc w:val="right"/>
        <w:rPr>
          <w:b/>
          <w:sz w:val="72"/>
          <w:szCs w:val="72"/>
        </w:rPr>
      </w:pPr>
    </w:p>
    <w:p>
      <w:pPr>
        <w:jc w:val="right"/>
        <w:rPr>
          <w:b/>
          <w:sz w:val="72"/>
          <w:szCs w:val="72"/>
        </w:rPr>
      </w:pPr>
    </w:p>
    <w:p>
      <w:pPr>
        <w:jc w:val="right"/>
        <w:rPr>
          <w:b/>
          <w:sz w:val="72"/>
          <w:szCs w:val="72"/>
        </w:rPr>
      </w:pPr>
    </w:p>
    <w:p>
      <w:pPr>
        <w:jc w:val="right"/>
        <w:rPr>
          <w:b/>
          <w:sz w:val="72"/>
          <w:szCs w:val="72"/>
        </w:rPr>
      </w:pPr>
    </w:p>
    <w:p>
      <w:pPr>
        <w:jc w:val="center"/>
        <w:rPr>
          <w:b/>
          <w:sz w:val="48"/>
          <w:szCs w:val="48"/>
        </w:rPr>
      </w:pPr>
      <w:r>
        <w:rPr>
          <w:rFonts w:hint="eastAsia"/>
          <w:b/>
          <w:sz w:val="48"/>
          <w:szCs w:val="48"/>
        </w:rPr>
        <w:t>第二部分</w:t>
      </w:r>
    </w:p>
    <w:p>
      <w:pPr>
        <w:spacing w:line="160" w:lineRule="exact"/>
        <w:jc w:val="center"/>
        <w:rPr>
          <w:b/>
          <w:sz w:val="48"/>
          <w:szCs w:val="48"/>
        </w:rPr>
      </w:pPr>
    </w:p>
    <w:p>
      <w:pPr>
        <w:jc w:val="center"/>
        <w:rPr>
          <w:b/>
          <w:sz w:val="48"/>
          <w:szCs w:val="48"/>
        </w:rPr>
      </w:pPr>
      <w:r>
        <w:rPr>
          <w:rFonts w:hint="eastAsia"/>
          <w:b/>
          <w:sz w:val="48"/>
          <w:szCs w:val="48"/>
        </w:rPr>
        <w:t>部门决算表</w:t>
      </w:r>
    </w:p>
    <w:p>
      <w:pPr>
        <w:jc w:val="center"/>
        <w:rPr>
          <w:b/>
          <w:sz w:val="72"/>
          <w:szCs w:val="72"/>
        </w:rPr>
      </w:pPr>
    </w:p>
    <w:p>
      <w:pPr>
        <w:jc w:val="left"/>
        <w:rPr>
          <w:sz w:val="32"/>
          <w:szCs w:val="32"/>
        </w:rPr>
      </w:pPr>
    </w:p>
    <w:p>
      <w:pPr>
        <w:jc w:val="left"/>
        <w:rPr>
          <w:rFonts w:ascii="宋体"/>
          <w:sz w:val="32"/>
          <w:szCs w:val="32"/>
        </w:rPr>
        <w:sectPr>
          <w:pgSz w:w="11906" w:h="16838"/>
          <w:pgMar w:top="720" w:right="720" w:bottom="720" w:left="720" w:header="851" w:footer="992" w:gutter="0"/>
          <w:cols w:space="425" w:num="1"/>
          <w:docGrid w:type="lines" w:linePitch="312" w:charSpace="0"/>
        </w:sectPr>
      </w:pPr>
    </w:p>
    <w:tbl>
      <w:tblPr>
        <w:tblStyle w:val="5"/>
        <w:tblpPr w:leftFromText="180" w:rightFromText="180" w:horzAnchor="margin" w:tblpX="108" w:tblpY="-1245"/>
        <w:tblW w:w="5098" w:type="pct"/>
        <w:tblInd w:w="0" w:type="dxa"/>
        <w:tblLayout w:type="autofit"/>
        <w:tblCellMar>
          <w:top w:w="0" w:type="dxa"/>
          <w:left w:w="108" w:type="dxa"/>
          <w:bottom w:w="0" w:type="dxa"/>
          <w:right w:w="108" w:type="dxa"/>
        </w:tblCellMar>
      </w:tblPr>
      <w:tblGrid>
        <w:gridCol w:w="4731"/>
        <w:gridCol w:w="908"/>
        <w:gridCol w:w="1463"/>
        <w:gridCol w:w="4558"/>
        <w:gridCol w:w="451"/>
        <w:gridCol w:w="451"/>
        <w:gridCol w:w="1890"/>
      </w:tblGrid>
      <w:tr>
        <w:tblPrEx>
          <w:tblCellMar>
            <w:top w:w="0" w:type="dxa"/>
            <w:left w:w="108" w:type="dxa"/>
            <w:bottom w:w="0" w:type="dxa"/>
            <w:right w:w="108" w:type="dxa"/>
          </w:tblCellMar>
        </w:tblPrEx>
        <w:trPr>
          <w:trHeight w:val="567" w:hRule="exact"/>
        </w:trPr>
        <w:tc>
          <w:tcPr>
            <w:tcW w:w="5000" w:type="pct"/>
            <w:gridSpan w:val="7"/>
            <w:tcBorders>
              <w:top w:val="nil"/>
              <w:left w:val="nil"/>
              <w:bottom w:val="nil"/>
              <w:right w:val="nil"/>
            </w:tcBorders>
            <w:noWrap/>
            <w:vAlign w:val="center"/>
          </w:tcPr>
          <w:p>
            <w:pPr>
              <w:widowControl/>
              <w:jc w:val="center"/>
              <w:rPr>
                <w:rFonts w:ascii="宋体" w:cs="宋体"/>
                <w:b/>
                <w:color w:val="000000"/>
                <w:kern w:val="0"/>
                <w:sz w:val="24"/>
                <w:szCs w:val="24"/>
              </w:rPr>
            </w:pPr>
          </w:p>
          <w:p>
            <w:pPr>
              <w:widowControl/>
              <w:jc w:val="center"/>
              <w:rPr>
                <w:rFonts w:ascii="宋体" w:cs="宋体"/>
                <w:b/>
                <w:color w:val="000000"/>
                <w:kern w:val="0"/>
                <w:sz w:val="24"/>
                <w:szCs w:val="24"/>
              </w:rPr>
            </w:pPr>
            <w:r>
              <w:rPr>
                <w:rFonts w:hint="eastAsia" w:ascii="宋体" w:hAnsi="宋体" w:cs="宋体"/>
                <w:b/>
                <w:color w:val="000000"/>
                <w:kern w:val="0"/>
                <w:sz w:val="24"/>
                <w:szCs w:val="24"/>
              </w:rPr>
              <w:t>收入支出决算总表</w:t>
            </w:r>
          </w:p>
        </w:tc>
      </w:tr>
      <w:tr>
        <w:tblPrEx>
          <w:tblCellMar>
            <w:top w:w="0" w:type="dxa"/>
            <w:left w:w="108" w:type="dxa"/>
            <w:bottom w:w="0" w:type="dxa"/>
            <w:right w:w="108" w:type="dxa"/>
          </w:tblCellMar>
        </w:tblPrEx>
        <w:trPr>
          <w:trHeight w:val="258" w:hRule="exact"/>
        </w:trPr>
        <w:tc>
          <w:tcPr>
            <w:tcW w:w="1951" w:type="pct"/>
            <w:gridSpan w:val="2"/>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506" w:type="pct"/>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577" w:type="pct"/>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56" w:type="pct"/>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56" w:type="pct"/>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654" w:type="pct"/>
            <w:tcBorders>
              <w:top w:val="nil"/>
              <w:left w:val="nil"/>
              <w:bottom w:val="nil"/>
              <w:right w:val="nil"/>
            </w:tcBorders>
            <w:shd w:val="clear" w:color="000000" w:fill="FFFFFF"/>
            <w:noWrap/>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01</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258" w:hRule="exact"/>
        </w:trPr>
        <w:tc>
          <w:tcPr>
            <w:tcW w:w="1951" w:type="pct"/>
            <w:gridSpan w:val="2"/>
            <w:tcBorders>
              <w:top w:val="nil"/>
              <w:left w:val="nil"/>
              <w:bottom w:val="nil"/>
              <w:right w:val="nil"/>
            </w:tcBorders>
            <w:shd w:val="clear" w:color="000000" w:fill="FFFFF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部门：沅江市国土资源局</w:t>
            </w:r>
          </w:p>
        </w:tc>
        <w:tc>
          <w:tcPr>
            <w:tcW w:w="506" w:type="pct"/>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577" w:type="pct"/>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56" w:type="pct"/>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56" w:type="pct"/>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654" w:type="pct"/>
            <w:tcBorders>
              <w:top w:val="nil"/>
              <w:left w:val="nil"/>
              <w:bottom w:val="nil"/>
              <w:right w:val="nil"/>
            </w:tcBorders>
            <w:shd w:val="clear" w:color="000000" w:fill="FFFFFF"/>
            <w:noWrap/>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258" w:hRule="exact"/>
        </w:trPr>
        <w:tc>
          <w:tcPr>
            <w:tcW w:w="2457"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hint="eastAsia" w:ascii="宋体" w:hAnsi="宋体" w:cs="宋体"/>
                <w:kern w:val="0"/>
                <w:sz w:val="18"/>
                <w:szCs w:val="18"/>
              </w:rPr>
              <w:t>收入</w:t>
            </w:r>
          </w:p>
        </w:tc>
        <w:tc>
          <w:tcPr>
            <w:tcW w:w="2543" w:type="pct"/>
            <w:gridSpan w:val="4"/>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hint="eastAsia" w:ascii="宋体" w:hAnsi="宋体" w:cs="宋体"/>
                <w:kern w:val="0"/>
                <w:sz w:val="18"/>
                <w:szCs w:val="18"/>
              </w:rPr>
              <w:t>支出</w:t>
            </w: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hint="eastAsia" w:ascii="宋体" w:hAnsi="宋体" w:cs="宋体"/>
                <w:kern w:val="0"/>
                <w:sz w:val="18"/>
                <w:szCs w:val="18"/>
              </w:rPr>
              <w:t>项</w:t>
            </w:r>
            <w:r>
              <w:rPr>
                <w:rFonts w:ascii="宋体" w:hAnsi="宋体" w:cs="宋体"/>
                <w:kern w:val="0"/>
                <w:sz w:val="18"/>
                <w:szCs w:val="18"/>
              </w:rPr>
              <w:t xml:space="preserve">    </w:t>
            </w:r>
            <w:r>
              <w:rPr>
                <w:rFonts w:hint="eastAsia" w:ascii="宋体" w:hAnsi="宋体" w:cs="宋体"/>
                <w:kern w:val="0"/>
                <w:sz w:val="18"/>
                <w:szCs w:val="18"/>
              </w:rPr>
              <w:t>目</w:t>
            </w: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hint="eastAsia" w:ascii="宋体" w:hAnsi="宋体" w:cs="宋体"/>
                <w:kern w:val="0"/>
                <w:sz w:val="18"/>
                <w:szCs w:val="18"/>
              </w:rPr>
              <w:t>行次</w:t>
            </w:r>
          </w:p>
        </w:tc>
        <w:tc>
          <w:tcPr>
            <w:tcW w:w="50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hint="eastAsia" w:ascii="宋体" w:hAnsi="宋体" w:cs="宋体"/>
                <w:kern w:val="0"/>
                <w:sz w:val="18"/>
                <w:szCs w:val="18"/>
              </w:rPr>
              <w:t>决算数</w:t>
            </w:r>
          </w:p>
        </w:tc>
        <w:tc>
          <w:tcPr>
            <w:tcW w:w="15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hint="eastAsia" w:ascii="宋体" w:hAnsi="宋体" w:cs="宋体"/>
                <w:kern w:val="0"/>
                <w:sz w:val="18"/>
                <w:szCs w:val="18"/>
              </w:rPr>
              <w:t>项</w:t>
            </w:r>
            <w:r>
              <w:rPr>
                <w:rFonts w:ascii="宋体" w:hAnsi="宋体" w:cs="宋体"/>
                <w:kern w:val="0"/>
                <w:sz w:val="18"/>
                <w:szCs w:val="18"/>
              </w:rPr>
              <w:t xml:space="preserve">    </w:t>
            </w:r>
            <w:r>
              <w:rPr>
                <w:rFonts w:hint="eastAsia" w:ascii="宋体" w:hAnsi="宋体" w:cs="宋体"/>
                <w:kern w:val="0"/>
                <w:sz w:val="18"/>
                <w:szCs w:val="18"/>
              </w:rPr>
              <w:t>目</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hint="eastAsia" w:ascii="宋体" w:hAnsi="宋体" w:cs="宋体"/>
                <w:kern w:val="0"/>
                <w:sz w:val="18"/>
                <w:szCs w:val="18"/>
              </w:rPr>
              <w:t>行次</w:t>
            </w:r>
          </w:p>
        </w:tc>
        <w:tc>
          <w:tcPr>
            <w:tcW w:w="65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hint="eastAsia" w:ascii="宋体" w:hAnsi="宋体" w:cs="宋体"/>
                <w:kern w:val="0"/>
                <w:sz w:val="18"/>
                <w:szCs w:val="18"/>
              </w:rPr>
              <w:t>决算数</w:t>
            </w: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hint="eastAsia" w:ascii="宋体" w:hAnsi="宋体" w:cs="宋体"/>
                <w:kern w:val="0"/>
                <w:sz w:val="18"/>
                <w:szCs w:val="18"/>
              </w:rPr>
              <w:t>栏</w:t>
            </w:r>
            <w:r>
              <w:rPr>
                <w:rFonts w:ascii="宋体" w:hAnsi="宋体" w:cs="宋体"/>
                <w:kern w:val="0"/>
                <w:sz w:val="18"/>
                <w:szCs w:val="18"/>
              </w:rPr>
              <w:t xml:space="preserve">    </w:t>
            </w:r>
            <w:r>
              <w:rPr>
                <w:rFonts w:hint="eastAsia" w:ascii="宋体" w:hAnsi="宋体" w:cs="宋体"/>
                <w:kern w:val="0"/>
                <w:sz w:val="18"/>
                <w:szCs w:val="18"/>
              </w:rPr>
              <w:t>次</w:t>
            </w: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hint="eastAsia" w:ascii="宋体" w:hAnsi="宋体" w:cs="宋体"/>
                <w:kern w:val="0"/>
                <w:sz w:val="18"/>
                <w:szCs w:val="18"/>
              </w:rPr>
              <w:t>　</w:t>
            </w:r>
          </w:p>
        </w:tc>
        <w:tc>
          <w:tcPr>
            <w:tcW w:w="50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1</w:t>
            </w:r>
          </w:p>
        </w:tc>
        <w:tc>
          <w:tcPr>
            <w:tcW w:w="15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hint="eastAsia" w:ascii="宋体" w:hAnsi="宋体" w:cs="宋体"/>
                <w:kern w:val="0"/>
                <w:sz w:val="18"/>
                <w:szCs w:val="18"/>
              </w:rPr>
              <w:t>栏</w:t>
            </w:r>
            <w:r>
              <w:rPr>
                <w:rFonts w:ascii="宋体" w:hAnsi="宋体" w:cs="宋体"/>
                <w:kern w:val="0"/>
                <w:sz w:val="18"/>
                <w:szCs w:val="18"/>
              </w:rPr>
              <w:t xml:space="preserve">    </w:t>
            </w:r>
            <w:r>
              <w:rPr>
                <w:rFonts w:hint="eastAsia" w:ascii="宋体" w:hAnsi="宋体" w:cs="宋体"/>
                <w:kern w:val="0"/>
                <w:sz w:val="18"/>
                <w:szCs w:val="18"/>
              </w:rPr>
              <w:t>次</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hint="eastAsia" w:ascii="宋体" w:hAnsi="宋体" w:cs="宋体"/>
                <w:kern w:val="0"/>
                <w:sz w:val="18"/>
                <w:szCs w:val="18"/>
              </w:rPr>
              <w:t>　</w:t>
            </w:r>
          </w:p>
        </w:tc>
        <w:tc>
          <w:tcPr>
            <w:tcW w:w="65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2</w:t>
            </w: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一、一般公共预算财政拨款收入</w:t>
            </w: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1</w:t>
            </w:r>
          </w:p>
        </w:tc>
        <w:tc>
          <w:tcPr>
            <w:tcW w:w="506" w:type="pct"/>
            <w:tcBorders>
              <w:top w:val="nil"/>
              <w:left w:val="nil"/>
              <w:bottom w:val="single" w:color="auto" w:sz="4" w:space="0"/>
              <w:right w:val="single" w:color="auto" w:sz="4" w:space="0"/>
            </w:tcBorders>
            <w:noWrap/>
          </w:tcPr>
          <w:p>
            <w:pPr>
              <w:widowControl/>
              <w:jc w:val="right"/>
              <w:rPr>
                <w:rFonts w:ascii="宋体" w:hAnsi="宋体" w:cs="宋体"/>
                <w:bCs/>
                <w:kern w:val="0"/>
                <w:sz w:val="18"/>
                <w:szCs w:val="18"/>
              </w:rPr>
            </w:pPr>
            <w:r>
              <w:rPr>
                <w:rFonts w:ascii="宋体" w:hAnsi="宋体" w:cs="宋体"/>
                <w:bCs/>
                <w:kern w:val="0"/>
                <w:sz w:val="18"/>
                <w:szCs w:val="18"/>
              </w:rPr>
              <w:t>2,679.05</w:t>
            </w:r>
          </w:p>
        </w:tc>
        <w:tc>
          <w:tcPr>
            <w:tcW w:w="1577" w:type="pct"/>
            <w:tcBorders>
              <w:top w:val="nil"/>
              <w:left w:val="nil"/>
              <w:bottom w:val="single" w:color="auto" w:sz="4" w:space="0"/>
              <w:right w:val="single" w:color="auto" w:sz="4" w:space="0"/>
            </w:tcBorders>
            <w:shd w:val="clear" w:color="000000" w:fill="FFFFFF"/>
            <w:noWrap/>
            <w:vAlign w:val="center"/>
          </w:tcPr>
          <w:p>
            <w:pPr>
              <w:widowControl/>
              <w:jc w:val="left"/>
              <w:rPr>
                <w:rFonts w:ascii="宋体" w:cs="宋体"/>
                <w:kern w:val="0"/>
                <w:sz w:val="18"/>
                <w:szCs w:val="18"/>
              </w:rPr>
            </w:pPr>
            <w:r>
              <w:rPr>
                <w:rFonts w:hint="eastAsia" w:ascii="宋体" w:hAnsi="宋体" w:cs="宋体"/>
                <w:kern w:val="0"/>
                <w:sz w:val="18"/>
                <w:szCs w:val="18"/>
              </w:rPr>
              <w:t>一、一般公共服务支出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32</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168.18</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kern w:val="0"/>
                <w:sz w:val="18"/>
                <w:szCs w:val="18"/>
              </w:rPr>
            </w:pPr>
            <w:r>
              <w:rPr>
                <w:rFonts w:hint="eastAsia" w:ascii="宋体" w:hAnsi="宋体" w:cs="宋体"/>
                <w:kern w:val="0"/>
                <w:sz w:val="18"/>
                <w:szCs w:val="18"/>
              </w:rPr>
              <w:t>二、政府性基金预算财政拨款收入</w:t>
            </w: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2</w:t>
            </w:r>
          </w:p>
        </w:tc>
        <w:tc>
          <w:tcPr>
            <w:tcW w:w="506" w:type="pct"/>
            <w:tcBorders>
              <w:top w:val="nil"/>
              <w:left w:val="nil"/>
              <w:bottom w:val="single" w:color="auto" w:sz="4" w:space="0"/>
              <w:right w:val="single" w:color="auto" w:sz="4" w:space="0"/>
            </w:tcBorders>
            <w:noWrap/>
          </w:tcPr>
          <w:p>
            <w:pPr>
              <w:widowControl/>
              <w:jc w:val="right"/>
              <w:rPr>
                <w:rFonts w:ascii="宋体" w:hAnsi="宋体" w:cs="宋体"/>
                <w:bCs/>
                <w:kern w:val="0"/>
                <w:sz w:val="18"/>
                <w:szCs w:val="18"/>
              </w:rPr>
            </w:pPr>
            <w:r>
              <w:rPr>
                <w:rFonts w:ascii="宋体" w:hAnsi="宋体" w:cs="宋体"/>
                <w:bCs/>
                <w:kern w:val="0"/>
                <w:sz w:val="18"/>
                <w:szCs w:val="18"/>
              </w:rPr>
              <w:t>1,022.67</w:t>
            </w:r>
          </w:p>
        </w:tc>
        <w:tc>
          <w:tcPr>
            <w:tcW w:w="1577" w:type="pct"/>
            <w:tcBorders>
              <w:top w:val="nil"/>
              <w:left w:val="nil"/>
              <w:bottom w:val="single" w:color="auto" w:sz="4" w:space="0"/>
              <w:right w:val="single" w:color="auto" w:sz="4" w:space="0"/>
            </w:tcBorders>
            <w:shd w:val="clear" w:color="000000" w:fill="FFFFFF"/>
            <w:noWrap/>
            <w:vAlign w:val="center"/>
          </w:tcPr>
          <w:p>
            <w:pPr>
              <w:widowControl/>
              <w:jc w:val="left"/>
              <w:rPr>
                <w:rFonts w:ascii="宋体" w:cs="宋体"/>
                <w:kern w:val="0"/>
                <w:sz w:val="18"/>
                <w:szCs w:val="18"/>
              </w:rPr>
            </w:pPr>
            <w:r>
              <w:rPr>
                <w:rFonts w:hint="eastAsia" w:ascii="宋体" w:hAnsi="宋体" w:cs="宋体"/>
                <w:kern w:val="0"/>
                <w:sz w:val="18"/>
                <w:szCs w:val="18"/>
              </w:rPr>
              <w:t>二、外交支出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33</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三、国有资本经营预算财政拨款收入</w:t>
            </w: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3</w:t>
            </w:r>
          </w:p>
        </w:tc>
        <w:tc>
          <w:tcPr>
            <w:tcW w:w="506" w:type="pct"/>
            <w:tcBorders>
              <w:top w:val="nil"/>
              <w:left w:val="nil"/>
              <w:bottom w:val="single" w:color="auto" w:sz="4" w:space="0"/>
              <w:right w:val="single" w:color="auto" w:sz="4" w:space="0"/>
            </w:tcBorders>
            <w:noWrap/>
          </w:tcPr>
          <w:p>
            <w:pPr>
              <w:widowControl/>
              <w:jc w:val="right"/>
              <w:rPr>
                <w:rFonts w:ascii="宋体" w:cs="宋体"/>
                <w:bCs/>
                <w:kern w:val="0"/>
                <w:sz w:val="18"/>
                <w:szCs w:val="18"/>
              </w:rPr>
            </w:pPr>
          </w:p>
        </w:tc>
        <w:tc>
          <w:tcPr>
            <w:tcW w:w="1577" w:type="pct"/>
            <w:tcBorders>
              <w:top w:val="nil"/>
              <w:left w:val="nil"/>
              <w:bottom w:val="single" w:color="auto" w:sz="4" w:space="0"/>
              <w:right w:val="single" w:color="auto" w:sz="4" w:space="0"/>
            </w:tcBorders>
            <w:shd w:val="clear" w:color="000000" w:fill="FFFFFF"/>
            <w:noWrap/>
            <w:vAlign w:val="center"/>
          </w:tcPr>
          <w:p>
            <w:pPr>
              <w:widowControl/>
              <w:jc w:val="left"/>
              <w:rPr>
                <w:rFonts w:ascii="宋体" w:cs="宋体"/>
                <w:kern w:val="0"/>
                <w:sz w:val="18"/>
                <w:szCs w:val="18"/>
              </w:rPr>
            </w:pPr>
            <w:r>
              <w:rPr>
                <w:rFonts w:hint="eastAsia" w:ascii="宋体" w:hAnsi="宋体" w:cs="宋体"/>
                <w:kern w:val="0"/>
                <w:sz w:val="18"/>
                <w:szCs w:val="18"/>
              </w:rPr>
              <w:t>三、国防支出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34</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kern w:val="0"/>
                <w:sz w:val="18"/>
                <w:szCs w:val="18"/>
              </w:rPr>
            </w:pPr>
            <w:r>
              <w:rPr>
                <w:rFonts w:hint="eastAsia" w:ascii="宋体" w:hAnsi="宋体" w:cs="宋体"/>
                <w:kern w:val="0"/>
                <w:sz w:val="18"/>
                <w:szCs w:val="18"/>
              </w:rPr>
              <w:t>四、上级补助收入</w:t>
            </w: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4</w:t>
            </w:r>
          </w:p>
        </w:tc>
        <w:tc>
          <w:tcPr>
            <w:tcW w:w="506" w:type="pct"/>
            <w:tcBorders>
              <w:top w:val="nil"/>
              <w:left w:val="nil"/>
              <w:bottom w:val="single" w:color="auto" w:sz="4" w:space="0"/>
              <w:right w:val="single" w:color="auto" w:sz="4" w:space="0"/>
            </w:tcBorders>
            <w:noWrap/>
            <w:vAlign w:val="center"/>
          </w:tcPr>
          <w:p>
            <w:pPr>
              <w:widowControl/>
              <w:jc w:val="right"/>
              <w:rPr>
                <w:rFonts w:ascii="宋体" w:cs="宋体"/>
                <w:bCs/>
                <w:kern w:val="0"/>
                <w:sz w:val="18"/>
                <w:szCs w:val="18"/>
              </w:rPr>
            </w:pPr>
          </w:p>
        </w:tc>
        <w:tc>
          <w:tcPr>
            <w:tcW w:w="1577" w:type="pct"/>
            <w:tcBorders>
              <w:top w:val="nil"/>
              <w:left w:val="nil"/>
              <w:bottom w:val="single" w:color="auto" w:sz="4" w:space="0"/>
              <w:right w:val="single" w:color="auto" w:sz="4" w:space="0"/>
            </w:tcBorders>
            <w:shd w:val="clear" w:color="000000" w:fill="FFFFFF"/>
            <w:noWrap/>
            <w:vAlign w:val="center"/>
          </w:tcPr>
          <w:p>
            <w:pPr>
              <w:widowControl/>
              <w:jc w:val="left"/>
              <w:rPr>
                <w:rFonts w:ascii="宋体" w:cs="宋体"/>
                <w:kern w:val="0"/>
                <w:sz w:val="18"/>
                <w:szCs w:val="18"/>
              </w:rPr>
            </w:pPr>
            <w:r>
              <w:rPr>
                <w:rFonts w:hint="eastAsia" w:ascii="宋体" w:hAnsi="宋体" w:cs="宋体"/>
                <w:kern w:val="0"/>
                <w:sz w:val="18"/>
                <w:szCs w:val="18"/>
              </w:rPr>
              <w:t>四、公共安全支出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35</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kern w:val="0"/>
                <w:sz w:val="18"/>
                <w:szCs w:val="18"/>
              </w:rPr>
            </w:pPr>
            <w:r>
              <w:rPr>
                <w:rFonts w:hint="eastAsia" w:ascii="宋体" w:hAnsi="宋体" w:cs="宋体"/>
                <w:kern w:val="0"/>
                <w:sz w:val="18"/>
                <w:szCs w:val="18"/>
              </w:rPr>
              <w:t>五、事业收入</w:t>
            </w: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5</w:t>
            </w:r>
          </w:p>
        </w:tc>
        <w:tc>
          <w:tcPr>
            <w:tcW w:w="506" w:type="pct"/>
            <w:tcBorders>
              <w:top w:val="nil"/>
              <w:left w:val="nil"/>
              <w:bottom w:val="single" w:color="auto" w:sz="4" w:space="0"/>
              <w:right w:val="single" w:color="auto" w:sz="4" w:space="0"/>
            </w:tcBorders>
            <w:noWrap/>
            <w:vAlign w:val="center"/>
          </w:tcPr>
          <w:p>
            <w:pPr>
              <w:widowControl/>
              <w:jc w:val="right"/>
              <w:rPr>
                <w:rFonts w:ascii="宋体" w:hAnsi="宋体" w:cs="宋体"/>
                <w:bCs/>
                <w:kern w:val="0"/>
                <w:sz w:val="18"/>
                <w:szCs w:val="18"/>
              </w:rPr>
            </w:pPr>
            <w:r>
              <w:rPr>
                <w:rFonts w:ascii="宋体" w:hAnsi="宋体" w:cs="宋体"/>
                <w:bCs/>
                <w:kern w:val="0"/>
                <w:sz w:val="18"/>
                <w:szCs w:val="18"/>
              </w:rPr>
              <w:t>87.90</w:t>
            </w:r>
          </w:p>
        </w:tc>
        <w:tc>
          <w:tcPr>
            <w:tcW w:w="1577" w:type="pct"/>
            <w:tcBorders>
              <w:top w:val="nil"/>
              <w:left w:val="nil"/>
              <w:bottom w:val="single" w:color="auto" w:sz="4" w:space="0"/>
              <w:right w:val="single" w:color="auto" w:sz="4" w:space="0"/>
            </w:tcBorders>
            <w:shd w:val="clear" w:color="000000" w:fill="FFFFFF"/>
            <w:noWrap/>
            <w:vAlign w:val="center"/>
          </w:tcPr>
          <w:p>
            <w:pPr>
              <w:widowControl/>
              <w:jc w:val="left"/>
              <w:rPr>
                <w:rFonts w:ascii="宋体" w:cs="宋体"/>
                <w:kern w:val="0"/>
                <w:sz w:val="18"/>
                <w:szCs w:val="18"/>
              </w:rPr>
            </w:pPr>
            <w:r>
              <w:rPr>
                <w:rFonts w:hint="eastAsia" w:ascii="宋体" w:hAnsi="宋体" w:cs="宋体"/>
                <w:kern w:val="0"/>
                <w:sz w:val="18"/>
                <w:szCs w:val="18"/>
              </w:rPr>
              <w:t>五、教育支出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36</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kern w:val="0"/>
                <w:sz w:val="18"/>
                <w:szCs w:val="18"/>
              </w:rPr>
            </w:pPr>
            <w:r>
              <w:rPr>
                <w:rFonts w:hint="eastAsia" w:ascii="宋体" w:hAnsi="宋体" w:cs="宋体"/>
                <w:kern w:val="0"/>
                <w:sz w:val="18"/>
                <w:szCs w:val="18"/>
              </w:rPr>
              <w:t>六、经营收入</w:t>
            </w: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6</w:t>
            </w:r>
          </w:p>
        </w:tc>
        <w:tc>
          <w:tcPr>
            <w:tcW w:w="506" w:type="pct"/>
            <w:tcBorders>
              <w:top w:val="nil"/>
              <w:left w:val="nil"/>
              <w:bottom w:val="single" w:color="auto" w:sz="4" w:space="0"/>
              <w:right w:val="single" w:color="auto" w:sz="4" w:space="0"/>
            </w:tcBorders>
            <w:noWrap/>
            <w:vAlign w:val="center"/>
          </w:tcPr>
          <w:p>
            <w:pPr>
              <w:widowControl/>
              <w:jc w:val="right"/>
              <w:rPr>
                <w:rFonts w:ascii="宋体" w:cs="宋体"/>
                <w:bCs/>
                <w:kern w:val="0"/>
                <w:sz w:val="18"/>
                <w:szCs w:val="18"/>
              </w:rPr>
            </w:pPr>
          </w:p>
        </w:tc>
        <w:tc>
          <w:tcPr>
            <w:tcW w:w="1577" w:type="pct"/>
            <w:tcBorders>
              <w:top w:val="nil"/>
              <w:left w:val="nil"/>
              <w:bottom w:val="single" w:color="auto" w:sz="4" w:space="0"/>
              <w:right w:val="single" w:color="auto" w:sz="4" w:space="0"/>
            </w:tcBorders>
            <w:shd w:val="clear" w:color="000000" w:fill="FFFFFF"/>
            <w:noWrap/>
            <w:vAlign w:val="center"/>
          </w:tcPr>
          <w:p>
            <w:pPr>
              <w:widowControl/>
              <w:jc w:val="left"/>
              <w:rPr>
                <w:rFonts w:ascii="宋体" w:cs="宋体"/>
                <w:kern w:val="0"/>
                <w:sz w:val="18"/>
                <w:szCs w:val="18"/>
              </w:rPr>
            </w:pPr>
            <w:r>
              <w:rPr>
                <w:rFonts w:hint="eastAsia" w:ascii="宋体" w:hAnsi="宋体" w:cs="宋体"/>
                <w:kern w:val="0"/>
                <w:sz w:val="18"/>
                <w:szCs w:val="18"/>
              </w:rPr>
              <w:t>六、科学技术支出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37</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kern w:val="0"/>
                <w:sz w:val="18"/>
                <w:szCs w:val="18"/>
              </w:rPr>
            </w:pPr>
            <w:r>
              <w:rPr>
                <w:rFonts w:hint="eastAsia" w:ascii="宋体" w:hAnsi="宋体" w:cs="宋体"/>
                <w:kern w:val="0"/>
                <w:sz w:val="18"/>
                <w:szCs w:val="18"/>
              </w:rPr>
              <w:t>七、附属单位上缴收入</w:t>
            </w: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7</w:t>
            </w:r>
          </w:p>
        </w:tc>
        <w:tc>
          <w:tcPr>
            <w:tcW w:w="506" w:type="pct"/>
            <w:tcBorders>
              <w:top w:val="nil"/>
              <w:left w:val="nil"/>
              <w:bottom w:val="single" w:color="auto" w:sz="4" w:space="0"/>
              <w:right w:val="single" w:color="auto" w:sz="4" w:space="0"/>
            </w:tcBorders>
            <w:noWrap/>
            <w:vAlign w:val="center"/>
          </w:tcPr>
          <w:p>
            <w:pPr>
              <w:widowControl/>
              <w:jc w:val="right"/>
              <w:rPr>
                <w:rFonts w:ascii="宋体" w:cs="宋体"/>
                <w:bCs/>
                <w:kern w:val="0"/>
                <w:sz w:val="18"/>
                <w:szCs w:val="18"/>
              </w:rPr>
            </w:pPr>
          </w:p>
        </w:tc>
        <w:tc>
          <w:tcPr>
            <w:tcW w:w="1577" w:type="pct"/>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七、文化旅游体育与传媒支出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38</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kern w:val="0"/>
                <w:sz w:val="18"/>
                <w:szCs w:val="18"/>
              </w:rPr>
            </w:pPr>
            <w:r>
              <w:rPr>
                <w:rFonts w:hint="eastAsia" w:ascii="宋体" w:hAnsi="宋体" w:cs="宋体"/>
                <w:kern w:val="0"/>
                <w:sz w:val="18"/>
                <w:szCs w:val="18"/>
              </w:rPr>
              <w:t>八、其他收入</w:t>
            </w: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8</w:t>
            </w:r>
          </w:p>
        </w:tc>
        <w:tc>
          <w:tcPr>
            <w:tcW w:w="506" w:type="pct"/>
            <w:tcBorders>
              <w:top w:val="nil"/>
              <w:left w:val="nil"/>
              <w:bottom w:val="single" w:color="auto" w:sz="4" w:space="0"/>
              <w:right w:val="single" w:color="auto" w:sz="4" w:space="0"/>
            </w:tcBorders>
            <w:noWrap/>
            <w:vAlign w:val="center"/>
          </w:tcPr>
          <w:p>
            <w:pPr>
              <w:widowControl/>
              <w:jc w:val="right"/>
              <w:rPr>
                <w:rFonts w:ascii="宋体" w:hAnsi="宋体" w:cs="宋体"/>
                <w:bCs/>
                <w:kern w:val="0"/>
                <w:sz w:val="18"/>
                <w:szCs w:val="18"/>
              </w:rPr>
            </w:pPr>
            <w:r>
              <w:rPr>
                <w:rFonts w:ascii="宋体" w:hAnsi="宋体" w:cs="宋体"/>
                <w:bCs/>
                <w:kern w:val="0"/>
                <w:sz w:val="18"/>
                <w:szCs w:val="18"/>
              </w:rPr>
              <w:t>370.73</w:t>
            </w:r>
          </w:p>
        </w:tc>
        <w:tc>
          <w:tcPr>
            <w:tcW w:w="1577" w:type="pct"/>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八、社会保障和就业支出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39</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bCs/>
                <w:kern w:val="0"/>
                <w:sz w:val="18"/>
                <w:szCs w:val="18"/>
              </w:rPr>
            </w:pPr>
            <w:r>
              <w:rPr>
                <w:rFonts w:ascii="宋体" w:hAnsi="宋体" w:cs="宋体"/>
                <w:bCs/>
                <w:kern w:val="0"/>
                <w:sz w:val="18"/>
                <w:szCs w:val="18"/>
              </w:rPr>
              <w:t>15.78</w:t>
            </w: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9</w:t>
            </w:r>
          </w:p>
        </w:tc>
        <w:tc>
          <w:tcPr>
            <w:tcW w:w="506"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1577" w:type="pct"/>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九、卫生健康支出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40</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b/>
                <w:bCs/>
                <w:kern w:val="0"/>
                <w:sz w:val="18"/>
                <w:szCs w:val="18"/>
              </w:rPr>
            </w:pP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tcPr>
          <w:p>
            <w:pPr>
              <w:rPr>
                <w:sz w:val="18"/>
                <w:szCs w:val="18"/>
              </w:rPr>
            </w:pP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10</w:t>
            </w:r>
          </w:p>
        </w:tc>
        <w:tc>
          <w:tcPr>
            <w:tcW w:w="506"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1577" w:type="pct"/>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十、节能环保支出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41</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b/>
                <w:bCs/>
                <w:kern w:val="0"/>
                <w:sz w:val="18"/>
                <w:szCs w:val="18"/>
              </w:rPr>
            </w:pP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tcPr>
          <w:p>
            <w:pPr>
              <w:rPr>
                <w:sz w:val="18"/>
                <w:szCs w:val="18"/>
              </w:rPr>
            </w:pP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11</w:t>
            </w:r>
          </w:p>
        </w:tc>
        <w:tc>
          <w:tcPr>
            <w:tcW w:w="506"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1577" w:type="pct"/>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十一、城乡社区支出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42</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1,022.67</w:t>
            </w: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12</w:t>
            </w:r>
          </w:p>
        </w:tc>
        <w:tc>
          <w:tcPr>
            <w:tcW w:w="506"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1577" w:type="pct"/>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十二、农林水支出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43</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183.96</w:t>
            </w: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13</w:t>
            </w:r>
          </w:p>
        </w:tc>
        <w:tc>
          <w:tcPr>
            <w:tcW w:w="506"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1577" w:type="pct"/>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十三、交通运输支出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44</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b/>
                <w:bCs/>
                <w:kern w:val="0"/>
                <w:sz w:val="18"/>
                <w:szCs w:val="18"/>
              </w:rPr>
            </w:pP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14</w:t>
            </w:r>
          </w:p>
        </w:tc>
        <w:tc>
          <w:tcPr>
            <w:tcW w:w="506"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1577" w:type="pct"/>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十四、资源勘探工业信息等支出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45</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b/>
                <w:bCs/>
                <w:kern w:val="0"/>
                <w:sz w:val="18"/>
                <w:szCs w:val="18"/>
              </w:rPr>
            </w:pP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15</w:t>
            </w:r>
          </w:p>
        </w:tc>
        <w:tc>
          <w:tcPr>
            <w:tcW w:w="506"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1577" w:type="pct"/>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十五、商业服务业等支出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46</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b/>
                <w:bCs/>
                <w:kern w:val="0"/>
                <w:sz w:val="18"/>
                <w:szCs w:val="18"/>
              </w:rPr>
            </w:pPr>
          </w:p>
        </w:tc>
      </w:tr>
      <w:tr>
        <w:tblPrEx>
          <w:tblCellMar>
            <w:top w:w="0" w:type="dxa"/>
            <w:left w:w="108" w:type="dxa"/>
            <w:bottom w:w="0" w:type="dxa"/>
            <w:right w:w="108" w:type="dxa"/>
          </w:tblCellMar>
        </w:tblPrEx>
        <w:trPr>
          <w:trHeight w:val="258" w:hRule="exact"/>
        </w:trPr>
        <w:tc>
          <w:tcPr>
            <w:tcW w:w="1637" w:type="pct"/>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31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16</w:t>
            </w:r>
          </w:p>
        </w:tc>
        <w:tc>
          <w:tcPr>
            <w:tcW w:w="506" w:type="pct"/>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1577" w:type="pct"/>
            <w:tcBorders>
              <w:top w:val="single" w:color="auto" w:sz="4" w:space="0"/>
              <w:left w:val="single" w:color="auto" w:sz="4" w:space="0"/>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十六、金融支出</w:t>
            </w:r>
          </w:p>
        </w:tc>
        <w:tc>
          <w:tcPr>
            <w:tcW w:w="31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47</w:t>
            </w:r>
          </w:p>
        </w:tc>
        <w:tc>
          <w:tcPr>
            <w:tcW w:w="654" w:type="pct"/>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58" w:hRule="exact"/>
        </w:trPr>
        <w:tc>
          <w:tcPr>
            <w:tcW w:w="1637" w:type="pct"/>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31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17</w:t>
            </w:r>
          </w:p>
        </w:tc>
        <w:tc>
          <w:tcPr>
            <w:tcW w:w="506" w:type="pct"/>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1577" w:type="pct"/>
            <w:tcBorders>
              <w:top w:val="single" w:color="auto" w:sz="4" w:space="0"/>
              <w:left w:val="single" w:color="auto" w:sz="4" w:space="0"/>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十七、援助其他地区支出</w:t>
            </w:r>
          </w:p>
        </w:tc>
        <w:tc>
          <w:tcPr>
            <w:tcW w:w="31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48</w:t>
            </w:r>
          </w:p>
        </w:tc>
        <w:tc>
          <w:tcPr>
            <w:tcW w:w="654" w:type="pct"/>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b/>
                <w:bCs/>
                <w:kern w:val="0"/>
                <w:sz w:val="18"/>
                <w:szCs w:val="18"/>
              </w:rPr>
            </w:pPr>
          </w:p>
        </w:tc>
      </w:tr>
      <w:tr>
        <w:tblPrEx>
          <w:tblCellMar>
            <w:top w:w="0" w:type="dxa"/>
            <w:left w:w="108" w:type="dxa"/>
            <w:bottom w:w="0" w:type="dxa"/>
            <w:right w:w="108" w:type="dxa"/>
          </w:tblCellMar>
        </w:tblPrEx>
        <w:trPr>
          <w:trHeight w:val="258" w:hRule="exact"/>
        </w:trPr>
        <w:tc>
          <w:tcPr>
            <w:tcW w:w="1637" w:type="pct"/>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31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18</w:t>
            </w:r>
          </w:p>
        </w:tc>
        <w:tc>
          <w:tcPr>
            <w:tcW w:w="506" w:type="pct"/>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1577" w:type="pct"/>
            <w:tcBorders>
              <w:top w:val="single" w:color="auto" w:sz="4" w:space="0"/>
              <w:left w:val="single" w:color="auto" w:sz="4" w:space="0"/>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十八、自然资源海洋气象等支出</w:t>
            </w:r>
          </w:p>
        </w:tc>
        <w:tc>
          <w:tcPr>
            <w:tcW w:w="31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49</w:t>
            </w:r>
          </w:p>
        </w:tc>
        <w:tc>
          <w:tcPr>
            <w:tcW w:w="654" w:type="pct"/>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bCs/>
                <w:kern w:val="0"/>
                <w:sz w:val="18"/>
                <w:szCs w:val="18"/>
              </w:rPr>
            </w:pPr>
            <w:r>
              <w:rPr>
                <w:rFonts w:ascii="宋体" w:hAnsi="宋体" w:cs="宋体"/>
                <w:bCs/>
                <w:kern w:val="0"/>
                <w:sz w:val="18"/>
                <w:szCs w:val="18"/>
              </w:rPr>
              <w:t>3,022.99</w:t>
            </w:r>
          </w:p>
        </w:tc>
      </w:tr>
      <w:tr>
        <w:tblPrEx>
          <w:tblCellMar>
            <w:top w:w="0" w:type="dxa"/>
            <w:left w:w="108" w:type="dxa"/>
            <w:bottom w:w="0" w:type="dxa"/>
            <w:right w:w="108" w:type="dxa"/>
          </w:tblCellMar>
        </w:tblPrEx>
        <w:trPr>
          <w:trHeight w:val="258" w:hRule="exact"/>
        </w:trPr>
        <w:tc>
          <w:tcPr>
            <w:tcW w:w="1637" w:type="pct"/>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314"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19</w:t>
            </w:r>
          </w:p>
        </w:tc>
        <w:tc>
          <w:tcPr>
            <w:tcW w:w="506" w:type="pct"/>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1577" w:type="pct"/>
            <w:tcBorders>
              <w:top w:val="single" w:color="auto" w:sz="4" w:space="0"/>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十九、住房保障支出</w:t>
            </w:r>
          </w:p>
        </w:tc>
        <w:tc>
          <w:tcPr>
            <w:tcW w:w="312" w:type="pct"/>
            <w:gridSpan w:val="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50</w:t>
            </w:r>
          </w:p>
        </w:tc>
        <w:tc>
          <w:tcPr>
            <w:tcW w:w="654" w:type="pct"/>
            <w:tcBorders>
              <w:top w:val="single" w:color="auto" w:sz="4" w:space="0"/>
              <w:left w:val="nil"/>
              <w:bottom w:val="single" w:color="auto" w:sz="4" w:space="0"/>
              <w:right w:val="single" w:color="auto" w:sz="4" w:space="0"/>
            </w:tcBorders>
            <w:noWrap/>
            <w:vAlign w:val="center"/>
          </w:tcPr>
          <w:p>
            <w:pPr>
              <w:widowControl/>
              <w:jc w:val="right"/>
              <w:rPr>
                <w:rFonts w:ascii="宋体" w:cs="宋体"/>
                <w:bCs/>
                <w:kern w:val="0"/>
                <w:sz w:val="18"/>
                <w:szCs w:val="18"/>
              </w:rPr>
            </w:pPr>
            <w:r>
              <w:rPr>
                <w:rFonts w:ascii="宋体" w:hAnsi="宋体" w:cs="宋体"/>
                <w:bCs/>
                <w:kern w:val="0"/>
                <w:sz w:val="18"/>
                <w:szCs w:val="18"/>
              </w:rPr>
              <w:t>93.99</w:t>
            </w: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20</w:t>
            </w:r>
          </w:p>
        </w:tc>
        <w:tc>
          <w:tcPr>
            <w:tcW w:w="506"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1577" w:type="pct"/>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二十、粮油物资储备支出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51</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bCs/>
                <w:kern w:val="0"/>
                <w:sz w:val="18"/>
                <w:szCs w:val="18"/>
              </w:rPr>
            </w:pP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21</w:t>
            </w:r>
          </w:p>
        </w:tc>
        <w:tc>
          <w:tcPr>
            <w:tcW w:w="506"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1577" w:type="pct"/>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二十一、国有资本经营预算支出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52</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bCs/>
                <w:kern w:val="0"/>
                <w:sz w:val="18"/>
                <w:szCs w:val="18"/>
              </w:rPr>
            </w:pP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22</w:t>
            </w:r>
          </w:p>
        </w:tc>
        <w:tc>
          <w:tcPr>
            <w:tcW w:w="506"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1577" w:type="pct"/>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二十二、灾害防治及应急管理支出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53</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bCs/>
                <w:kern w:val="0"/>
                <w:sz w:val="18"/>
                <w:szCs w:val="18"/>
              </w:rPr>
            </w:pPr>
            <w:r>
              <w:rPr>
                <w:rFonts w:ascii="宋体" w:hAnsi="宋体" w:cs="宋体"/>
                <w:bCs/>
                <w:kern w:val="0"/>
                <w:sz w:val="18"/>
                <w:szCs w:val="18"/>
              </w:rPr>
              <w:t>32.00</w:t>
            </w: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23</w:t>
            </w:r>
          </w:p>
        </w:tc>
        <w:tc>
          <w:tcPr>
            <w:tcW w:w="506"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1577" w:type="pct"/>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二十三、其他支出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54</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bCs/>
                <w:kern w:val="0"/>
                <w:sz w:val="18"/>
                <w:szCs w:val="18"/>
              </w:rPr>
            </w:pP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24</w:t>
            </w:r>
          </w:p>
        </w:tc>
        <w:tc>
          <w:tcPr>
            <w:tcW w:w="506"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1577" w:type="pct"/>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二十四、债务还本支出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55</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b/>
                <w:bCs/>
                <w:kern w:val="0"/>
                <w:sz w:val="18"/>
                <w:szCs w:val="18"/>
              </w:rPr>
            </w:pP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25</w:t>
            </w:r>
          </w:p>
        </w:tc>
        <w:tc>
          <w:tcPr>
            <w:tcW w:w="506"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1577" w:type="pct"/>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二十五、债务付息支出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56</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b/>
                <w:bCs/>
                <w:kern w:val="0"/>
                <w:sz w:val="18"/>
                <w:szCs w:val="18"/>
              </w:rPr>
            </w:pP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26</w:t>
            </w:r>
          </w:p>
        </w:tc>
        <w:tc>
          <w:tcPr>
            <w:tcW w:w="506"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1577" w:type="pct"/>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二十六、抗疫特别国债安排的支出</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57</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b/>
                <w:bCs/>
                <w:kern w:val="0"/>
                <w:sz w:val="18"/>
                <w:szCs w:val="18"/>
              </w:rPr>
            </w:pP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vAlign w:val="center"/>
          </w:tcPr>
          <w:p>
            <w:pPr>
              <w:widowControl/>
              <w:jc w:val="center"/>
              <w:rPr>
                <w:rFonts w:ascii="宋体" w:cs="宋体"/>
                <w:b/>
                <w:bCs/>
                <w:kern w:val="0"/>
                <w:sz w:val="18"/>
                <w:szCs w:val="18"/>
              </w:rPr>
            </w:pPr>
            <w:r>
              <w:rPr>
                <w:rFonts w:hint="eastAsia" w:ascii="宋体" w:hAnsi="宋体" w:cs="宋体"/>
                <w:b/>
                <w:bCs/>
                <w:kern w:val="0"/>
                <w:sz w:val="18"/>
                <w:szCs w:val="18"/>
              </w:rPr>
              <w:t>本年收入合计</w:t>
            </w: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27</w:t>
            </w:r>
          </w:p>
        </w:tc>
        <w:tc>
          <w:tcPr>
            <w:tcW w:w="506" w:type="pct"/>
            <w:tcBorders>
              <w:top w:val="nil"/>
              <w:left w:val="nil"/>
              <w:bottom w:val="single" w:color="auto" w:sz="4" w:space="0"/>
              <w:right w:val="single" w:color="auto" w:sz="4" w:space="0"/>
            </w:tcBorders>
            <w:noWrap/>
            <w:vAlign w:val="center"/>
          </w:tcPr>
          <w:p>
            <w:pPr>
              <w:widowControl/>
              <w:jc w:val="right"/>
              <w:rPr>
                <w:rFonts w:ascii="宋体" w:hAnsi="宋体" w:cs="宋体"/>
                <w:bCs/>
                <w:kern w:val="0"/>
                <w:sz w:val="18"/>
                <w:szCs w:val="18"/>
              </w:rPr>
            </w:pPr>
            <w:r>
              <w:rPr>
                <w:rFonts w:ascii="宋体" w:hAnsi="宋体" w:cs="宋体"/>
                <w:bCs/>
                <w:kern w:val="0"/>
                <w:sz w:val="18"/>
                <w:szCs w:val="18"/>
              </w:rPr>
              <w:t>4,160.36</w:t>
            </w:r>
          </w:p>
        </w:tc>
        <w:tc>
          <w:tcPr>
            <w:tcW w:w="1577" w:type="pct"/>
            <w:tcBorders>
              <w:top w:val="nil"/>
              <w:left w:val="nil"/>
              <w:bottom w:val="single" w:color="auto" w:sz="4" w:space="0"/>
              <w:right w:val="single" w:color="auto" w:sz="4" w:space="0"/>
            </w:tcBorders>
            <w:noWrap/>
            <w:vAlign w:val="center"/>
          </w:tcPr>
          <w:p>
            <w:pPr>
              <w:widowControl/>
              <w:jc w:val="center"/>
              <w:rPr>
                <w:rFonts w:ascii="宋体" w:cs="宋体"/>
                <w:b/>
                <w:bCs/>
                <w:kern w:val="0"/>
                <w:sz w:val="18"/>
                <w:szCs w:val="18"/>
              </w:rPr>
            </w:pPr>
            <w:r>
              <w:rPr>
                <w:rFonts w:hint="eastAsia" w:ascii="宋体" w:hAnsi="宋体" w:cs="宋体"/>
                <w:b/>
                <w:bCs/>
                <w:kern w:val="0"/>
                <w:sz w:val="18"/>
                <w:szCs w:val="18"/>
              </w:rPr>
              <w:t>本年支出合计</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58</w:t>
            </w:r>
          </w:p>
        </w:tc>
        <w:tc>
          <w:tcPr>
            <w:tcW w:w="654" w:type="pct"/>
            <w:tcBorders>
              <w:top w:val="nil"/>
              <w:left w:val="nil"/>
              <w:bottom w:val="single" w:color="auto" w:sz="4" w:space="0"/>
              <w:right w:val="single" w:color="auto" w:sz="4" w:space="0"/>
            </w:tcBorders>
            <w:noWrap/>
            <w:vAlign w:val="center"/>
          </w:tcPr>
          <w:p>
            <w:pPr>
              <w:widowControl/>
              <w:jc w:val="right"/>
              <w:rPr>
                <w:rFonts w:ascii="宋体" w:hAnsi="宋体" w:cs="宋体"/>
                <w:kern w:val="0"/>
                <w:sz w:val="18"/>
                <w:szCs w:val="18"/>
              </w:rPr>
            </w:pPr>
            <w:r>
              <w:rPr>
                <w:rFonts w:ascii="宋体" w:hAnsi="宋体" w:cs="宋体"/>
                <w:kern w:val="0"/>
                <w:sz w:val="18"/>
                <w:szCs w:val="18"/>
              </w:rPr>
              <w:t>4,539.58</w:t>
            </w: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vAlign w:val="center"/>
          </w:tcPr>
          <w:p>
            <w:pPr>
              <w:widowControl/>
              <w:rPr>
                <w:rFonts w:ascii="宋体" w:cs="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使用非财政拨款结余</w:t>
            </w: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28</w:t>
            </w:r>
          </w:p>
        </w:tc>
        <w:tc>
          <w:tcPr>
            <w:tcW w:w="506" w:type="pct"/>
            <w:tcBorders>
              <w:top w:val="nil"/>
              <w:left w:val="nil"/>
              <w:bottom w:val="single" w:color="auto" w:sz="4" w:space="0"/>
              <w:right w:val="single" w:color="auto" w:sz="4" w:space="0"/>
            </w:tcBorders>
            <w:noWrap/>
          </w:tcPr>
          <w:p>
            <w:pPr>
              <w:widowControl/>
              <w:jc w:val="right"/>
              <w:rPr>
                <w:rFonts w:ascii="宋体" w:cs="宋体"/>
                <w:bCs/>
                <w:kern w:val="0"/>
                <w:sz w:val="18"/>
                <w:szCs w:val="18"/>
              </w:rPr>
            </w:pPr>
          </w:p>
        </w:tc>
        <w:tc>
          <w:tcPr>
            <w:tcW w:w="1577" w:type="pct"/>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结余分配</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59</w:t>
            </w:r>
          </w:p>
        </w:tc>
        <w:tc>
          <w:tcPr>
            <w:tcW w:w="654" w:type="pct"/>
            <w:tcBorders>
              <w:top w:val="nil"/>
              <w:left w:val="nil"/>
              <w:bottom w:val="single" w:color="auto" w:sz="4" w:space="0"/>
              <w:right w:val="single" w:color="auto" w:sz="4" w:space="0"/>
            </w:tcBorders>
            <w:noWrap/>
            <w:vAlign w:val="center"/>
          </w:tcPr>
          <w:p>
            <w:pPr>
              <w:jc w:val="right"/>
              <w:rPr>
                <w:rFonts w:ascii="宋体" w:cs="宋体"/>
                <w:bCs/>
                <w:kern w:val="0"/>
                <w:sz w:val="18"/>
                <w:szCs w:val="18"/>
              </w:rPr>
            </w:pPr>
            <w:r>
              <w:rPr>
                <w:rFonts w:ascii="宋体" w:hAnsi="宋体" w:cs="宋体"/>
                <w:bCs/>
                <w:kern w:val="0"/>
                <w:sz w:val="18"/>
                <w:szCs w:val="18"/>
              </w:rPr>
              <w:t>71.40</w:t>
            </w: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vAlign w:val="center"/>
          </w:tcPr>
          <w:p>
            <w:pPr>
              <w:widowControl/>
              <w:rPr>
                <w:rFonts w:ascii="宋体" w:cs="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年初结转和结余</w:t>
            </w: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29</w:t>
            </w:r>
          </w:p>
        </w:tc>
        <w:tc>
          <w:tcPr>
            <w:tcW w:w="506" w:type="pct"/>
            <w:tcBorders>
              <w:top w:val="nil"/>
              <w:left w:val="nil"/>
              <w:bottom w:val="single" w:color="auto" w:sz="4" w:space="0"/>
              <w:right w:val="single" w:color="auto" w:sz="4" w:space="0"/>
            </w:tcBorders>
            <w:noWrap/>
          </w:tcPr>
          <w:p>
            <w:pPr>
              <w:widowControl/>
              <w:jc w:val="right"/>
              <w:rPr>
                <w:rFonts w:ascii="宋体" w:hAnsi="宋体" w:cs="宋体"/>
                <w:bCs/>
                <w:kern w:val="0"/>
                <w:sz w:val="18"/>
                <w:szCs w:val="18"/>
              </w:rPr>
            </w:pPr>
            <w:r>
              <w:rPr>
                <w:rFonts w:ascii="宋体" w:hAnsi="宋体" w:cs="宋体"/>
                <w:bCs/>
                <w:kern w:val="0"/>
                <w:sz w:val="18"/>
                <w:szCs w:val="18"/>
              </w:rPr>
              <w:t>1,171.76</w:t>
            </w:r>
          </w:p>
        </w:tc>
        <w:tc>
          <w:tcPr>
            <w:tcW w:w="1577" w:type="pct"/>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年末结转和结余</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60</w:t>
            </w:r>
          </w:p>
        </w:tc>
        <w:tc>
          <w:tcPr>
            <w:tcW w:w="654" w:type="pct"/>
            <w:tcBorders>
              <w:top w:val="nil"/>
              <w:left w:val="nil"/>
              <w:bottom w:val="single" w:color="auto" w:sz="4" w:space="0"/>
              <w:right w:val="single" w:color="auto" w:sz="4" w:space="0"/>
            </w:tcBorders>
            <w:noWrap/>
            <w:vAlign w:val="center"/>
          </w:tcPr>
          <w:p>
            <w:pPr>
              <w:jc w:val="right"/>
              <w:rPr>
                <w:rFonts w:ascii="宋体" w:cs="宋体"/>
                <w:bCs/>
                <w:kern w:val="0"/>
                <w:sz w:val="18"/>
                <w:szCs w:val="18"/>
              </w:rPr>
            </w:pPr>
            <w:r>
              <w:rPr>
                <w:rFonts w:ascii="宋体" w:hAnsi="宋体" w:cs="宋体"/>
                <w:bCs/>
                <w:kern w:val="0"/>
                <w:sz w:val="18"/>
                <w:szCs w:val="18"/>
              </w:rPr>
              <w:t>721.14</w:t>
            </w: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30</w:t>
            </w:r>
          </w:p>
        </w:tc>
        <w:tc>
          <w:tcPr>
            <w:tcW w:w="506" w:type="pct"/>
            <w:tcBorders>
              <w:top w:val="nil"/>
              <w:left w:val="nil"/>
              <w:bottom w:val="single" w:color="auto" w:sz="4" w:space="0"/>
              <w:right w:val="single" w:color="auto" w:sz="4" w:space="0"/>
            </w:tcBorders>
            <w:noWrap/>
          </w:tcPr>
          <w:p>
            <w:pPr>
              <w:widowControl/>
              <w:jc w:val="right"/>
              <w:rPr>
                <w:rFonts w:ascii="宋体" w:cs="宋体"/>
                <w:bCs/>
                <w:kern w:val="0"/>
                <w:sz w:val="18"/>
                <w:szCs w:val="18"/>
              </w:rPr>
            </w:pPr>
          </w:p>
        </w:tc>
        <w:tc>
          <w:tcPr>
            <w:tcW w:w="1577" w:type="pct"/>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61</w:t>
            </w:r>
          </w:p>
        </w:tc>
        <w:tc>
          <w:tcPr>
            <w:tcW w:w="654" w:type="pct"/>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8" w:hRule="exact"/>
        </w:trPr>
        <w:tc>
          <w:tcPr>
            <w:tcW w:w="1637"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b/>
                <w:bCs/>
                <w:kern w:val="0"/>
                <w:sz w:val="18"/>
                <w:szCs w:val="18"/>
              </w:rPr>
            </w:pPr>
            <w:r>
              <w:rPr>
                <w:rFonts w:hint="eastAsia" w:ascii="宋体" w:hAnsi="宋体" w:cs="宋体"/>
                <w:b/>
                <w:bCs/>
                <w:kern w:val="0"/>
                <w:sz w:val="18"/>
                <w:szCs w:val="18"/>
              </w:rPr>
              <w:t>总计</w:t>
            </w:r>
          </w:p>
        </w:tc>
        <w:tc>
          <w:tcPr>
            <w:tcW w:w="314"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31</w:t>
            </w:r>
          </w:p>
        </w:tc>
        <w:tc>
          <w:tcPr>
            <w:tcW w:w="506" w:type="pct"/>
            <w:tcBorders>
              <w:top w:val="nil"/>
              <w:left w:val="nil"/>
              <w:bottom w:val="single" w:color="auto" w:sz="4" w:space="0"/>
              <w:right w:val="single" w:color="auto" w:sz="4" w:space="0"/>
            </w:tcBorders>
            <w:noWrap/>
          </w:tcPr>
          <w:p>
            <w:pPr>
              <w:widowControl/>
              <w:jc w:val="right"/>
              <w:rPr>
                <w:rFonts w:ascii="宋体" w:hAnsi="宋体" w:cs="宋体"/>
                <w:bCs/>
                <w:kern w:val="0"/>
                <w:sz w:val="18"/>
                <w:szCs w:val="18"/>
              </w:rPr>
            </w:pPr>
            <w:r>
              <w:rPr>
                <w:rFonts w:ascii="宋体" w:hAnsi="宋体" w:cs="宋体"/>
                <w:bCs/>
                <w:kern w:val="0"/>
                <w:sz w:val="18"/>
                <w:szCs w:val="18"/>
              </w:rPr>
              <w:t>5,332.12</w:t>
            </w:r>
          </w:p>
        </w:tc>
        <w:tc>
          <w:tcPr>
            <w:tcW w:w="157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b/>
                <w:bCs/>
                <w:kern w:val="0"/>
                <w:sz w:val="18"/>
                <w:szCs w:val="18"/>
              </w:rPr>
            </w:pPr>
            <w:r>
              <w:rPr>
                <w:rFonts w:hint="eastAsia" w:ascii="宋体" w:hAnsi="宋体" w:cs="宋体"/>
                <w:b/>
                <w:bCs/>
                <w:kern w:val="0"/>
                <w:sz w:val="18"/>
                <w:szCs w:val="18"/>
              </w:rPr>
              <w:t>总计</w:t>
            </w:r>
          </w:p>
        </w:tc>
        <w:tc>
          <w:tcPr>
            <w:tcW w:w="312"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62</w:t>
            </w:r>
          </w:p>
        </w:tc>
        <w:tc>
          <w:tcPr>
            <w:tcW w:w="654" w:type="pct"/>
            <w:tcBorders>
              <w:top w:val="nil"/>
              <w:left w:val="nil"/>
              <w:bottom w:val="single" w:color="auto" w:sz="4" w:space="0"/>
              <w:right w:val="single" w:color="auto" w:sz="4" w:space="0"/>
            </w:tcBorders>
            <w:noWrap/>
            <w:vAlign w:val="center"/>
          </w:tcPr>
          <w:p>
            <w:pPr>
              <w:widowControl/>
              <w:jc w:val="right"/>
              <w:rPr>
                <w:rFonts w:ascii="宋体" w:hAnsi="宋体" w:cs="宋体"/>
                <w:bCs/>
                <w:kern w:val="0"/>
                <w:sz w:val="18"/>
                <w:szCs w:val="18"/>
              </w:rPr>
            </w:pPr>
            <w:r>
              <w:rPr>
                <w:rFonts w:ascii="宋体" w:hAnsi="宋体" w:cs="宋体"/>
                <w:bCs/>
                <w:kern w:val="0"/>
                <w:sz w:val="18"/>
                <w:szCs w:val="18"/>
              </w:rPr>
              <w:t>5,332.12</w:t>
            </w:r>
          </w:p>
        </w:tc>
      </w:tr>
      <w:tr>
        <w:tblPrEx>
          <w:tblCellMar>
            <w:top w:w="0" w:type="dxa"/>
            <w:left w:w="108" w:type="dxa"/>
            <w:bottom w:w="0" w:type="dxa"/>
            <w:right w:w="108" w:type="dxa"/>
          </w:tblCellMar>
        </w:tblPrEx>
        <w:trPr>
          <w:trHeight w:val="618" w:hRule="exact"/>
        </w:trPr>
        <w:tc>
          <w:tcPr>
            <w:tcW w:w="5000" w:type="pct"/>
            <w:gridSpan w:val="7"/>
            <w:tcBorders>
              <w:top w:val="nil"/>
              <w:left w:val="nil"/>
              <w:bottom w:val="nil"/>
              <w:right w:val="nil"/>
            </w:tcBorders>
            <w:vAlign w:val="center"/>
          </w:tcPr>
          <w:p>
            <w:pPr>
              <w:widowControl/>
              <w:ind w:left="180" w:hanging="180" w:hangingChars="100"/>
              <w:jc w:val="left"/>
              <w:rPr>
                <w:rFonts w:ascii="宋体" w:cs="宋体"/>
                <w:kern w:val="0"/>
                <w:sz w:val="18"/>
                <w:szCs w:val="18"/>
              </w:rPr>
            </w:pPr>
            <w:r>
              <w:rPr>
                <w:rFonts w:hint="eastAsia" w:ascii="宋体" w:hAnsi="宋体" w:cs="宋体"/>
                <w:kern w:val="0"/>
                <w:sz w:val="18"/>
                <w:szCs w:val="18"/>
              </w:rPr>
              <w:t>注：</w:t>
            </w:r>
            <w:r>
              <w:rPr>
                <w:rFonts w:ascii="宋体" w:hAnsi="宋体" w:cs="宋体"/>
                <w:kern w:val="0"/>
                <w:sz w:val="18"/>
                <w:szCs w:val="18"/>
              </w:rPr>
              <w:t>1.</w:t>
            </w:r>
            <w:r>
              <w:rPr>
                <w:rFonts w:hint="eastAsia" w:ascii="宋体" w:hAnsi="宋体" w:cs="宋体"/>
                <w:kern w:val="0"/>
                <w:sz w:val="18"/>
                <w:szCs w:val="18"/>
              </w:rPr>
              <w:t>本表反映部门本年度的总收支和年末结转结余情况。</w:t>
            </w:r>
            <w:r>
              <w:rPr>
                <w:rFonts w:ascii="宋体" w:cs="宋体"/>
                <w:kern w:val="0"/>
                <w:sz w:val="18"/>
                <w:szCs w:val="18"/>
              </w:rPr>
              <w:br w:type="textWrapping"/>
            </w:r>
            <w:r>
              <w:rPr>
                <w:rFonts w:ascii="宋体" w:hAnsi="宋体" w:cs="宋体"/>
                <w:kern w:val="0"/>
                <w:sz w:val="18"/>
                <w:szCs w:val="18"/>
              </w:rPr>
              <w:t xml:space="preserve"> 2.</w:t>
            </w:r>
            <w:r>
              <w:rPr>
                <w:rFonts w:hint="eastAsia" w:ascii="宋体" w:hAnsi="宋体" w:cs="宋体"/>
                <w:kern w:val="0"/>
                <w:sz w:val="18"/>
                <w:szCs w:val="18"/>
              </w:rPr>
              <w:t>本套报表金额单位转换时可能存在尾数误差。</w:t>
            </w:r>
          </w:p>
        </w:tc>
      </w:tr>
    </w:tbl>
    <w:p>
      <w:pPr>
        <w:spacing w:line="180" w:lineRule="atLeast"/>
        <w:jc w:val="center"/>
        <w:rPr>
          <w:rFonts w:ascii="黑体" w:hAnsi="黑体" w:eastAsia="黑体"/>
          <w:sz w:val="28"/>
          <w:szCs w:val="28"/>
        </w:rPr>
      </w:pPr>
    </w:p>
    <w:p>
      <w:pPr>
        <w:jc w:val="center"/>
        <w:rPr>
          <w:rFonts w:ascii="黑体" w:hAnsi="黑体" w:eastAsia="黑体"/>
          <w:sz w:val="28"/>
          <w:szCs w:val="28"/>
        </w:rPr>
        <w:sectPr>
          <w:pgSz w:w="16838" w:h="11906" w:orient="landscape"/>
          <w:pgMar w:top="851" w:right="1440" w:bottom="142" w:left="1440" w:header="851" w:footer="992" w:gutter="0"/>
          <w:cols w:space="425" w:num="1"/>
          <w:docGrid w:type="linesAndChars" w:linePitch="312" w:charSpace="0"/>
        </w:sectPr>
      </w:pPr>
    </w:p>
    <w:tbl>
      <w:tblPr>
        <w:tblStyle w:val="5"/>
        <w:tblW w:w="5060" w:type="pct"/>
        <w:tblInd w:w="-93" w:type="dxa"/>
        <w:tblLayout w:type="fixed"/>
        <w:tblCellMar>
          <w:top w:w="0" w:type="dxa"/>
          <w:left w:w="0" w:type="dxa"/>
          <w:bottom w:w="0" w:type="dxa"/>
          <w:right w:w="0" w:type="dxa"/>
        </w:tblCellMar>
      </w:tblPr>
      <w:tblGrid>
        <w:gridCol w:w="93"/>
        <w:gridCol w:w="71"/>
        <w:gridCol w:w="1505"/>
        <w:gridCol w:w="325"/>
        <w:gridCol w:w="97"/>
        <w:gridCol w:w="1268"/>
        <w:gridCol w:w="147"/>
        <w:gridCol w:w="259"/>
        <w:gridCol w:w="378"/>
        <w:gridCol w:w="178"/>
        <w:gridCol w:w="1071"/>
        <w:gridCol w:w="247"/>
        <w:gridCol w:w="1842"/>
        <w:gridCol w:w="97"/>
        <w:gridCol w:w="1327"/>
        <w:gridCol w:w="66"/>
        <w:gridCol w:w="503"/>
        <w:gridCol w:w="403"/>
        <w:gridCol w:w="66"/>
        <w:gridCol w:w="378"/>
        <w:gridCol w:w="684"/>
        <w:gridCol w:w="397"/>
        <w:gridCol w:w="1052"/>
        <w:gridCol w:w="209"/>
        <w:gridCol w:w="62"/>
        <w:gridCol w:w="990"/>
        <w:gridCol w:w="368"/>
        <w:gridCol w:w="343"/>
        <w:gridCol w:w="1187"/>
      </w:tblGrid>
      <w:tr>
        <w:tblPrEx>
          <w:tblCellMar>
            <w:top w:w="0" w:type="dxa"/>
            <w:left w:w="0" w:type="dxa"/>
            <w:bottom w:w="0" w:type="dxa"/>
            <w:right w:w="0" w:type="dxa"/>
          </w:tblCellMar>
        </w:tblPrEx>
        <w:trPr>
          <w:gridBefore w:val="2"/>
          <w:wBefore w:w="53" w:type="pct"/>
          <w:trHeight w:val="435" w:hRule="atLeast"/>
        </w:trPr>
        <w:tc>
          <w:tcPr>
            <w:tcW w:w="4947" w:type="pct"/>
            <w:gridSpan w:val="27"/>
            <w:tcBorders>
              <w:top w:val="nil"/>
              <w:left w:val="nil"/>
              <w:bottom w:val="nil"/>
              <w:right w:val="nil"/>
            </w:tcBorders>
            <w:noWrap/>
            <w:tcMar>
              <w:top w:w="15" w:type="dxa"/>
              <w:left w:w="15" w:type="dxa"/>
              <w:bottom w:w="0" w:type="dxa"/>
              <w:right w:w="15" w:type="dxa"/>
            </w:tcMar>
            <w:vAlign w:val="center"/>
          </w:tcPr>
          <w:p>
            <w:pPr>
              <w:widowControl/>
              <w:jc w:val="center"/>
              <w:rPr>
                <w:rFonts w:ascii="华文中宋" w:hAnsi="华文中宋" w:eastAsia="华文中宋" w:cs="宋体"/>
                <w:b/>
                <w:color w:val="000000"/>
                <w:sz w:val="32"/>
                <w:szCs w:val="32"/>
              </w:rPr>
            </w:pPr>
            <w:r>
              <w:rPr>
                <w:rFonts w:hint="eastAsia" w:ascii="宋体" w:hAnsi="宋体" w:cs="宋体"/>
                <w:b/>
                <w:color w:val="000000"/>
                <w:kern w:val="0"/>
                <w:sz w:val="32"/>
                <w:szCs w:val="32"/>
              </w:rPr>
              <w:t>收入决算表</w:t>
            </w:r>
          </w:p>
        </w:tc>
      </w:tr>
      <w:tr>
        <w:tblPrEx>
          <w:tblCellMar>
            <w:top w:w="0" w:type="dxa"/>
            <w:left w:w="0" w:type="dxa"/>
            <w:bottom w:w="0" w:type="dxa"/>
            <w:right w:w="0" w:type="dxa"/>
          </w:tblCellMar>
        </w:tblPrEx>
        <w:trPr>
          <w:gridBefore w:val="2"/>
          <w:wBefore w:w="53" w:type="pct"/>
          <w:trHeight w:val="65" w:hRule="atLeast"/>
        </w:trPr>
        <w:tc>
          <w:tcPr>
            <w:tcW w:w="586"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437"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730" w:type="pct"/>
            <w:gridSpan w:val="6"/>
            <w:tcBorders>
              <w:top w:val="nil"/>
              <w:left w:val="nil"/>
              <w:bottom w:val="nil"/>
              <w:right w:val="nil"/>
            </w:tcBorders>
            <w:shd w:val="clear" w:color="000000" w:fill="FFFFFF"/>
            <w:noWrap/>
            <w:tcMar>
              <w:top w:w="15" w:type="dxa"/>
              <w:left w:w="15" w:type="dxa"/>
              <w:bottom w:w="0" w:type="dxa"/>
              <w:right w:w="15" w:type="dxa"/>
            </w:tcMar>
            <w:vAlign w:val="center"/>
          </w:tcPr>
          <w:p>
            <w:pPr>
              <w:ind w:right="420"/>
              <w:rPr>
                <w:rFonts w:ascii="宋体" w:cs="宋体"/>
                <w:sz w:val="24"/>
                <w:szCs w:val="24"/>
              </w:rPr>
            </w:pPr>
            <w:r>
              <w:rPr>
                <w:rFonts w:hint="eastAsia"/>
              </w:rPr>
              <w:t>　</w:t>
            </w:r>
          </w:p>
        </w:tc>
        <w:tc>
          <w:tcPr>
            <w:tcW w:w="59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456"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453" w:type="pct"/>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346"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404"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565" w:type="pct"/>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38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000000"/>
                <w:sz w:val="20"/>
                <w:szCs w:val="20"/>
              </w:rPr>
            </w:pPr>
            <w:r>
              <w:rPr>
                <w:rFonts w:hint="eastAsia"/>
                <w:color w:val="000000"/>
                <w:sz w:val="20"/>
                <w:szCs w:val="20"/>
              </w:rPr>
              <w:t>公开</w:t>
            </w:r>
            <w:r>
              <w:rPr>
                <w:color w:val="000000"/>
                <w:sz w:val="20"/>
                <w:szCs w:val="20"/>
              </w:rPr>
              <w:t>02</w:t>
            </w:r>
            <w:r>
              <w:rPr>
                <w:rFonts w:hint="eastAsia"/>
                <w:color w:val="000000"/>
                <w:sz w:val="20"/>
                <w:szCs w:val="20"/>
              </w:rPr>
              <w:t>表</w:t>
            </w:r>
          </w:p>
        </w:tc>
      </w:tr>
      <w:tr>
        <w:tblPrEx>
          <w:tblCellMar>
            <w:top w:w="0" w:type="dxa"/>
            <w:left w:w="0" w:type="dxa"/>
            <w:bottom w:w="0" w:type="dxa"/>
            <w:right w:w="0" w:type="dxa"/>
          </w:tblCellMar>
        </w:tblPrEx>
        <w:trPr>
          <w:gridBefore w:val="2"/>
          <w:wBefore w:w="53" w:type="pct"/>
          <w:trHeight w:val="285" w:hRule="atLeast"/>
        </w:trPr>
        <w:tc>
          <w:tcPr>
            <w:tcW w:w="1023" w:type="pct"/>
            <w:gridSpan w:val="4"/>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cs="宋体"/>
                <w:color w:val="000000"/>
                <w:sz w:val="20"/>
                <w:szCs w:val="20"/>
              </w:rPr>
            </w:pPr>
            <w:r>
              <w:rPr>
                <w:rFonts w:hint="eastAsia"/>
                <w:color w:val="000000"/>
                <w:sz w:val="20"/>
                <w:szCs w:val="20"/>
              </w:rPr>
              <w:t>部门：沅江市国土资源局</w:t>
            </w:r>
          </w:p>
        </w:tc>
        <w:tc>
          <w:tcPr>
            <w:tcW w:w="730" w:type="pct"/>
            <w:gridSpan w:val="6"/>
            <w:tcBorders>
              <w:top w:val="nil"/>
              <w:left w:val="nil"/>
              <w:bottom w:val="nil"/>
              <w:right w:val="nil"/>
            </w:tcBorders>
            <w:shd w:val="clear" w:color="000000" w:fill="FFFFFF"/>
            <w:noWrap/>
            <w:tcMar>
              <w:top w:w="15" w:type="dxa"/>
              <w:left w:w="15" w:type="dxa"/>
              <w:bottom w:w="0" w:type="dxa"/>
              <w:right w:w="15" w:type="dxa"/>
            </w:tcMar>
            <w:vAlign w:val="center"/>
          </w:tcPr>
          <w:p>
            <w:pPr>
              <w:ind w:right="420"/>
              <w:jc w:val="left"/>
              <w:rPr>
                <w:rFonts w:ascii="宋体" w:cs="宋体"/>
                <w:sz w:val="24"/>
                <w:szCs w:val="24"/>
              </w:rPr>
            </w:pPr>
          </w:p>
        </w:tc>
        <w:tc>
          <w:tcPr>
            <w:tcW w:w="59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456"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453" w:type="pct"/>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cs="宋体"/>
                <w:color w:val="000000"/>
                <w:sz w:val="20"/>
                <w:szCs w:val="20"/>
              </w:rPr>
            </w:pPr>
            <w:r>
              <w:rPr>
                <w:rFonts w:hint="eastAsia"/>
                <w:color w:val="000000"/>
                <w:sz w:val="20"/>
                <w:szCs w:val="20"/>
              </w:rPr>
              <w:t>　</w:t>
            </w:r>
          </w:p>
        </w:tc>
        <w:tc>
          <w:tcPr>
            <w:tcW w:w="346"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404"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565" w:type="pct"/>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38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Before w:val="2"/>
          <w:wBefore w:w="53" w:type="pct"/>
          <w:trHeight w:val="284" w:hRule="exact"/>
        </w:trPr>
        <w:tc>
          <w:tcPr>
            <w:tcW w:w="1753" w:type="pct"/>
            <w:gridSpan w:val="10"/>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sz w:val="24"/>
                <w:szCs w:val="24"/>
              </w:rPr>
            </w:pPr>
            <w:r>
              <w:rPr>
                <w:rFonts w:hint="eastAsia"/>
              </w:rPr>
              <w:t>项目</w:t>
            </w:r>
          </w:p>
        </w:tc>
        <w:tc>
          <w:tcPr>
            <w:tcW w:w="59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sz w:val="24"/>
                <w:szCs w:val="24"/>
              </w:rPr>
            </w:pPr>
            <w:r>
              <w:rPr>
                <w:rFonts w:hint="eastAsia"/>
              </w:rPr>
              <w:t>本年收入合计</w:t>
            </w:r>
          </w:p>
        </w:tc>
        <w:tc>
          <w:tcPr>
            <w:tcW w:w="456" w:type="pct"/>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cs="宋体"/>
                <w:sz w:val="24"/>
                <w:szCs w:val="24"/>
              </w:rPr>
            </w:pPr>
            <w:r>
              <w:rPr>
                <w:rFonts w:hint="eastAsia"/>
              </w:rPr>
              <w:t>财政拨款收入</w:t>
            </w:r>
          </w:p>
        </w:tc>
        <w:tc>
          <w:tcPr>
            <w:tcW w:w="453" w:type="pct"/>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sz w:val="24"/>
                <w:szCs w:val="24"/>
              </w:rPr>
            </w:pPr>
            <w:r>
              <w:rPr>
                <w:rFonts w:hint="eastAsia"/>
              </w:rPr>
              <w:t>上级补助收入</w:t>
            </w:r>
          </w:p>
        </w:tc>
        <w:tc>
          <w:tcPr>
            <w:tcW w:w="346" w:type="pct"/>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sz w:val="24"/>
                <w:szCs w:val="24"/>
              </w:rPr>
            </w:pPr>
            <w:r>
              <w:rPr>
                <w:rFonts w:hint="eastAsia"/>
              </w:rPr>
              <w:t>事业收入</w:t>
            </w:r>
          </w:p>
        </w:tc>
        <w:tc>
          <w:tcPr>
            <w:tcW w:w="404" w:type="pct"/>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sz w:val="24"/>
                <w:szCs w:val="24"/>
              </w:rPr>
            </w:pPr>
            <w:r>
              <w:rPr>
                <w:rFonts w:hint="eastAsia"/>
              </w:rPr>
              <w:t>经营收入</w:t>
            </w:r>
          </w:p>
        </w:tc>
        <w:tc>
          <w:tcPr>
            <w:tcW w:w="565" w:type="pct"/>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sz w:val="24"/>
                <w:szCs w:val="24"/>
              </w:rPr>
            </w:pPr>
            <w:r>
              <w:rPr>
                <w:rFonts w:hint="eastAsia"/>
              </w:rPr>
              <w:t>附属单位上缴收入</w:t>
            </w:r>
          </w:p>
        </w:tc>
        <w:tc>
          <w:tcPr>
            <w:tcW w:w="38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sz w:val="24"/>
                <w:szCs w:val="24"/>
              </w:rPr>
            </w:pPr>
            <w:r>
              <w:rPr>
                <w:rFonts w:hint="eastAsia"/>
              </w:rPr>
              <w:t>其他收入</w:t>
            </w:r>
          </w:p>
        </w:tc>
      </w:tr>
      <w:tr>
        <w:tblPrEx>
          <w:tblCellMar>
            <w:top w:w="0" w:type="dxa"/>
            <w:left w:w="0" w:type="dxa"/>
            <w:bottom w:w="0" w:type="dxa"/>
            <w:right w:w="0" w:type="dxa"/>
          </w:tblCellMar>
        </w:tblPrEx>
        <w:trPr>
          <w:gridBefore w:val="2"/>
          <w:wBefore w:w="53" w:type="pct"/>
          <w:trHeight w:val="312" w:hRule="atLeast"/>
        </w:trPr>
        <w:tc>
          <w:tcPr>
            <w:tcW w:w="482"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sz w:val="15"/>
                <w:szCs w:val="15"/>
              </w:rPr>
            </w:pPr>
            <w:r>
              <w:rPr>
                <w:rFonts w:hint="eastAsia"/>
                <w:sz w:val="15"/>
                <w:szCs w:val="15"/>
              </w:rPr>
              <w:t>功能分类科目编码</w:t>
            </w:r>
          </w:p>
        </w:tc>
        <w:tc>
          <w:tcPr>
            <w:tcW w:w="1271" w:type="pct"/>
            <w:gridSpan w:val="9"/>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sz w:val="24"/>
                <w:szCs w:val="24"/>
              </w:rPr>
            </w:pPr>
            <w:r>
              <w:rPr>
                <w:rFonts w:hint="eastAsia"/>
              </w:rPr>
              <w:t>科目名称</w:t>
            </w:r>
          </w:p>
        </w:tc>
        <w:tc>
          <w:tcPr>
            <w:tcW w:w="590" w:type="pct"/>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456" w:type="pct"/>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453" w:type="pct"/>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346" w:type="pct"/>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404" w:type="pct"/>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565" w:type="pct"/>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380" w:type="pct"/>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r>
      <w:tr>
        <w:tblPrEx>
          <w:tblCellMar>
            <w:top w:w="0" w:type="dxa"/>
            <w:left w:w="0" w:type="dxa"/>
            <w:bottom w:w="0" w:type="dxa"/>
            <w:right w:w="0" w:type="dxa"/>
          </w:tblCellMar>
        </w:tblPrEx>
        <w:trPr>
          <w:gridBefore w:val="2"/>
          <w:wBefore w:w="53" w:type="pct"/>
          <w:trHeight w:val="312" w:hRule="atLeast"/>
        </w:trPr>
        <w:tc>
          <w:tcPr>
            <w:tcW w:w="482" w:type="pct"/>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1271" w:type="pct"/>
            <w:gridSpan w:val="9"/>
            <w:vMerge w:val="continue"/>
            <w:tcBorders>
              <w:top w:val="nil"/>
              <w:left w:val="single" w:color="auto" w:sz="4" w:space="0"/>
              <w:bottom w:val="single" w:color="auto" w:sz="4" w:space="0"/>
              <w:right w:val="single" w:color="auto" w:sz="4" w:space="0"/>
            </w:tcBorders>
            <w:vAlign w:val="center"/>
          </w:tcPr>
          <w:p>
            <w:pPr>
              <w:rPr>
                <w:rFonts w:ascii="宋体" w:cs="宋体"/>
                <w:sz w:val="24"/>
                <w:szCs w:val="24"/>
              </w:rPr>
            </w:pPr>
          </w:p>
        </w:tc>
        <w:tc>
          <w:tcPr>
            <w:tcW w:w="590" w:type="pct"/>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456" w:type="pct"/>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453" w:type="pct"/>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346" w:type="pct"/>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404" w:type="pct"/>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565" w:type="pct"/>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380" w:type="pct"/>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r>
      <w:tr>
        <w:tblPrEx>
          <w:tblCellMar>
            <w:top w:w="0" w:type="dxa"/>
            <w:left w:w="0" w:type="dxa"/>
            <w:bottom w:w="0" w:type="dxa"/>
            <w:right w:w="0" w:type="dxa"/>
          </w:tblCellMar>
        </w:tblPrEx>
        <w:trPr>
          <w:gridBefore w:val="2"/>
          <w:wBefore w:w="53" w:type="pct"/>
          <w:trHeight w:val="284" w:hRule="exact"/>
        </w:trPr>
        <w:tc>
          <w:tcPr>
            <w:tcW w:w="1753" w:type="pct"/>
            <w:gridSpan w:val="10"/>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sz w:val="24"/>
                <w:szCs w:val="24"/>
              </w:rPr>
            </w:pPr>
            <w:r>
              <w:rPr>
                <w:rFonts w:hint="eastAsia"/>
              </w:rPr>
              <w:t>栏次</w:t>
            </w:r>
          </w:p>
        </w:tc>
        <w:tc>
          <w:tcPr>
            <w:tcW w:w="59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sz w:val="24"/>
                <w:szCs w:val="24"/>
              </w:rPr>
            </w:pPr>
            <w:r>
              <w:t>1</w:t>
            </w:r>
          </w:p>
        </w:tc>
        <w:tc>
          <w:tcPr>
            <w:tcW w:w="456" w:type="pct"/>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sz w:val="24"/>
                <w:szCs w:val="24"/>
              </w:rPr>
            </w:pPr>
            <w:r>
              <w:t>2</w:t>
            </w:r>
          </w:p>
        </w:tc>
        <w:tc>
          <w:tcPr>
            <w:tcW w:w="453" w:type="pct"/>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sz w:val="24"/>
                <w:szCs w:val="24"/>
              </w:rPr>
            </w:pPr>
            <w:r>
              <w:t>3</w:t>
            </w:r>
          </w:p>
        </w:tc>
        <w:tc>
          <w:tcPr>
            <w:tcW w:w="346" w:type="pct"/>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sz w:val="24"/>
                <w:szCs w:val="24"/>
              </w:rPr>
            </w:pPr>
            <w:r>
              <w:t>4</w:t>
            </w:r>
          </w:p>
        </w:tc>
        <w:tc>
          <w:tcPr>
            <w:tcW w:w="404" w:type="pct"/>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sz w:val="24"/>
                <w:szCs w:val="24"/>
              </w:rPr>
            </w:pPr>
            <w:r>
              <w:t>5</w:t>
            </w:r>
          </w:p>
        </w:tc>
        <w:tc>
          <w:tcPr>
            <w:tcW w:w="565" w:type="pct"/>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sz w:val="24"/>
                <w:szCs w:val="24"/>
              </w:rPr>
            </w:pPr>
            <w:r>
              <w:t>6</w:t>
            </w:r>
          </w:p>
        </w:tc>
        <w:tc>
          <w:tcPr>
            <w:tcW w:w="38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sz w:val="24"/>
                <w:szCs w:val="24"/>
              </w:rPr>
            </w:pPr>
            <w:r>
              <w:t>7</w:t>
            </w:r>
          </w:p>
        </w:tc>
      </w:tr>
      <w:tr>
        <w:tblPrEx>
          <w:tblCellMar>
            <w:top w:w="0" w:type="dxa"/>
            <w:left w:w="0" w:type="dxa"/>
            <w:bottom w:w="0" w:type="dxa"/>
            <w:right w:w="0" w:type="dxa"/>
          </w:tblCellMar>
        </w:tblPrEx>
        <w:trPr>
          <w:gridBefore w:val="2"/>
          <w:wBefore w:w="53" w:type="pct"/>
          <w:trHeight w:val="284" w:hRule="exact"/>
        </w:trPr>
        <w:tc>
          <w:tcPr>
            <w:tcW w:w="1753" w:type="pct"/>
            <w:gridSpan w:val="10"/>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sz w:val="24"/>
                <w:szCs w:val="24"/>
              </w:rPr>
            </w:pPr>
            <w:r>
              <w:rPr>
                <w:rFonts w:hint="eastAsia"/>
              </w:rPr>
              <w:t>合计</w:t>
            </w:r>
          </w:p>
        </w:tc>
        <w:tc>
          <w:tcPr>
            <w:tcW w:w="59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b/>
                <w:kern w:val="0"/>
                <w:sz w:val="18"/>
                <w:szCs w:val="18"/>
              </w:rPr>
            </w:pPr>
            <w:r>
              <w:rPr>
                <w:rFonts w:ascii="宋体" w:hAnsi="宋体" w:cs="宋体"/>
                <w:b/>
                <w:kern w:val="0"/>
                <w:sz w:val="18"/>
                <w:szCs w:val="18"/>
              </w:rPr>
              <w:t>4,160.36</w:t>
            </w:r>
          </w:p>
        </w:tc>
        <w:tc>
          <w:tcPr>
            <w:tcW w:w="456" w:type="pct"/>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rPr>
                <w:rFonts w:ascii="宋体" w:cs="宋体"/>
                <w:b/>
                <w:kern w:val="0"/>
                <w:sz w:val="18"/>
                <w:szCs w:val="18"/>
              </w:rPr>
            </w:pPr>
            <w:r>
              <w:rPr>
                <w:rFonts w:ascii="宋体" w:hAnsi="宋体" w:cs="宋体"/>
                <w:b/>
                <w:kern w:val="0"/>
                <w:sz w:val="18"/>
                <w:szCs w:val="18"/>
              </w:rPr>
              <w:t>3,701.73</w:t>
            </w:r>
          </w:p>
        </w:tc>
        <w:tc>
          <w:tcPr>
            <w:tcW w:w="453" w:type="pct"/>
            <w:gridSpan w:val="5"/>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rPr>
                <w:rFonts w:ascii="宋体" w:cs="宋体"/>
                <w:b/>
                <w:kern w:val="0"/>
                <w:sz w:val="18"/>
                <w:szCs w:val="18"/>
              </w:rPr>
            </w:pPr>
            <w:r>
              <w:rPr>
                <w:rFonts w:hint="eastAsia" w:ascii="宋体" w:hAnsi="宋体" w:cs="宋体"/>
                <w:b/>
                <w:kern w:val="0"/>
                <w:sz w:val="18"/>
                <w:szCs w:val="18"/>
              </w:rPr>
              <w:t>　</w:t>
            </w:r>
          </w:p>
        </w:tc>
        <w:tc>
          <w:tcPr>
            <w:tcW w:w="346" w:type="pct"/>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rPr>
                <w:rFonts w:ascii="宋体" w:cs="宋体"/>
                <w:b/>
                <w:kern w:val="0"/>
                <w:sz w:val="18"/>
                <w:szCs w:val="18"/>
              </w:rPr>
            </w:pPr>
            <w:r>
              <w:rPr>
                <w:rFonts w:ascii="宋体" w:hAnsi="宋体" w:cs="宋体"/>
                <w:b/>
                <w:kern w:val="0"/>
                <w:sz w:val="18"/>
                <w:szCs w:val="18"/>
              </w:rPr>
              <w:t>87.9</w:t>
            </w:r>
            <w:r>
              <w:rPr>
                <w:rFonts w:ascii="宋体" w:cs="宋体"/>
                <w:b/>
                <w:kern w:val="0"/>
                <w:sz w:val="18"/>
                <w:szCs w:val="18"/>
              </w:rPr>
              <w:t>0</w:t>
            </w:r>
            <w:r>
              <w:rPr>
                <w:rFonts w:hint="eastAsia" w:ascii="宋体" w:hAnsi="宋体" w:cs="宋体"/>
                <w:b/>
                <w:kern w:val="0"/>
                <w:sz w:val="18"/>
                <w:szCs w:val="18"/>
              </w:rPr>
              <w:t>　</w:t>
            </w:r>
          </w:p>
        </w:tc>
        <w:tc>
          <w:tcPr>
            <w:tcW w:w="404" w:type="pct"/>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rPr>
                <w:rFonts w:ascii="宋体" w:cs="宋体"/>
                <w:b/>
                <w:kern w:val="0"/>
                <w:sz w:val="18"/>
                <w:szCs w:val="18"/>
              </w:rPr>
            </w:pPr>
            <w:r>
              <w:rPr>
                <w:rFonts w:hint="eastAsia" w:ascii="宋体" w:hAnsi="宋体" w:cs="宋体"/>
                <w:b/>
                <w:kern w:val="0"/>
                <w:sz w:val="18"/>
                <w:szCs w:val="18"/>
              </w:rPr>
              <w:t>　</w:t>
            </w:r>
          </w:p>
        </w:tc>
        <w:tc>
          <w:tcPr>
            <w:tcW w:w="565" w:type="pct"/>
            <w:gridSpan w:val="4"/>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rPr>
                <w:rFonts w:ascii="宋体" w:cs="宋体"/>
                <w:b/>
                <w:kern w:val="0"/>
                <w:sz w:val="18"/>
                <w:szCs w:val="18"/>
              </w:rPr>
            </w:pPr>
            <w:r>
              <w:rPr>
                <w:rFonts w:hint="eastAsia" w:ascii="宋体" w:hAnsi="宋体" w:cs="宋体"/>
                <w:b/>
                <w:kern w:val="0"/>
                <w:sz w:val="18"/>
                <w:szCs w:val="18"/>
              </w:rPr>
              <w:t>　</w:t>
            </w:r>
          </w:p>
        </w:tc>
        <w:tc>
          <w:tcPr>
            <w:tcW w:w="380" w:type="pct"/>
            <w:tcBorders>
              <w:top w:val="nil"/>
              <w:left w:val="nil"/>
              <w:bottom w:val="single" w:color="auto" w:sz="4" w:space="0"/>
              <w:right w:val="single" w:color="auto" w:sz="4" w:space="0"/>
            </w:tcBorders>
            <w:noWrap/>
            <w:tcMar>
              <w:top w:w="15" w:type="dxa"/>
              <w:left w:w="15" w:type="dxa"/>
              <w:bottom w:w="0" w:type="dxa"/>
              <w:right w:w="15" w:type="dxa"/>
            </w:tcMar>
            <w:vAlign w:val="center"/>
          </w:tcPr>
          <w:p>
            <w:pPr>
              <w:widowControl/>
              <w:jc w:val="right"/>
              <w:rPr>
                <w:rFonts w:ascii="宋体" w:cs="宋体"/>
                <w:b/>
                <w:kern w:val="0"/>
                <w:sz w:val="18"/>
                <w:szCs w:val="18"/>
              </w:rPr>
            </w:pPr>
            <w:r>
              <w:rPr>
                <w:rFonts w:ascii="宋体" w:hAnsi="宋体" w:cs="宋体"/>
                <w:b/>
                <w:kern w:val="0"/>
                <w:sz w:val="18"/>
                <w:szCs w:val="18"/>
              </w:rPr>
              <w:t>370.73</w:t>
            </w:r>
            <w:r>
              <w:rPr>
                <w:rFonts w:hint="eastAsia" w:ascii="宋体" w:hAnsi="宋体" w:cs="宋体"/>
                <w:b/>
                <w:kern w:val="0"/>
                <w:sz w:val="18"/>
                <w:szCs w:val="18"/>
              </w:rPr>
              <w:t>　</w:t>
            </w: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201</w:t>
            </w:r>
          </w:p>
        </w:tc>
        <w:tc>
          <w:tcPr>
            <w:tcW w:w="1271" w:type="pct"/>
            <w:gridSpan w:val="9"/>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rFonts w:hint="eastAsia"/>
                <w:sz w:val="18"/>
                <w:szCs w:val="18"/>
              </w:rPr>
              <w:t>一般公共服务支出</w:t>
            </w:r>
          </w:p>
        </w:tc>
        <w:tc>
          <w:tcPr>
            <w:tcW w:w="59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168.18</w:t>
            </w:r>
          </w:p>
        </w:tc>
        <w:tc>
          <w:tcPr>
            <w:tcW w:w="45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168.18</w:t>
            </w:r>
          </w:p>
        </w:tc>
        <w:tc>
          <w:tcPr>
            <w:tcW w:w="453" w:type="pct"/>
            <w:gridSpan w:val="5"/>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404"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20107</w:t>
            </w:r>
          </w:p>
        </w:tc>
        <w:tc>
          <w:tcPr>
            <w:tcW w:w="1271" w:type="pct"/>
            <w:gridSpan w:val="9"/>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rFonts w:hint="eastAsia"/>
                <w:sz w:val="18"/>
                <w:szCs w:val="18"/>
              </w:rPr>
              <w:t>税收事务</w:t>
            </w:r>
          </w:p>
        </w:tc>
        <w:tc>
          <w:tcPr>
            <w:tcW w:w="59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167.18</w:t>
            </w:r>
          </w:p>
        </w:tc>
        <w:tc>
          <w:tcPr>
            <w:tcW w:w="45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167.18</w:t>
            </w:r>
          </w:p>
        </w:tc>
        <w:tc>
          <w:tcPr>
            <w:tcW w:w="453" w:type="pct"/>
            <w:gridSpan w:val="5"/>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404"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2010799</w:t>
            </w:r>
          </w:p>
        </w:tc>
        <w:tc>
          <w:tcPr>
            <w:tcW w:w="1271" w:type="pct"/>
            <w:gridSpan w:val="9"/>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sz w:val="18"/>
                <w:szCs w:val="18"/>
              </w:rPr>
              <w:t xml:space="preserve">  </w:t>
            </w:r>
            <w:r>
              <w:rPr>
                <w:rFonts w:hint="eastAsia"/>
                <w:sz w:val="18"/>
                <w:szCs w:val="18"/>
              </w:rPr>
              <w:t>其他税收事务支出</w:t>
            </w:r>
          </w:p>
        </w:tc>
        <w:tc>
          <w:tcPr>
            <w:tcW w:w="59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167.18</w:t>
            </w:r>
          </w:p>
        </w:tc>
        <w:tc>
          <w:tcPr>
            <w:tcW w:w="45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167.18</w:t>
            </w:r>
          </w:p>
        </w:tc>
        <w:tc>
          <w:tcPr>
            <w:tcW w:w="453" w:type="pct"/>
            <w:gridSpan w:val="5"/>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404"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20132</w:t>
            </w:r>
          </w:p>
        </w:tc>
        <w:tc>
          <w:tcPr>
            <w:tcW w:w="1271" w:type="pct"/>
            <w:gridSpan w:val="9"/>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rFonts w:hint="eastAsia"/>
                <w:sz w:val="18"/>
                <w:szCs w:val="18"/>
              </w:rPr>
              <w:t>组织事务</w:t>
            </w:r>
          </w:p>
        </w:tc>
        <w:tc>
          <w:tcPr>
            <w:tcW w:w="59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1.00</w:t>
            </w:r>
          </w:p>
        </w:tc>
        <w:tc>
          <w:tcPr>
            <w:tcW w:w="45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1.00</w:t>
            </w:r>
          </w:p>
        </w:tc>
        <w:tc>
          <w:tcPr>
            <w:tcW w:w="453" w:type="pct"/>
            <w:gridSpan w:val="5"/>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404"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2013299</w:t>
            </w:r>
          </w:p>
        </w:tc>
        <w:tc>
          <w:tcPr>
            <w:tcW w:w="1271" w:type="pct"/>
            <w:gridSpan w:val="9"/>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sz w:val="18"/>
                <w:szCs w:val="18"/>
              </w:rPr>
              <w:t xml:space="preserve">  </w:t>
            </w:r>
            <w:r>
              <w:rPr>
                <w:rFonts w:hint="eastAsia"/>
                <w:sz w:val="18"/>
                <w:szCs w:val="18"/>
              </w:rPr>
              <w:t>其他组织事务支出</w:t>
            </w:r>
          </w:p>
        </w:tc>
        <w:tc>
          <w:tcPr>
            <w:tcW w:w="59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1.00</w:t>
            </w:r>
          </w:p>
        </w:tc>
        <w:tc>
          <w:tcPr>
            <w:tcW w:w="45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1.00</w:t>
            </w:r>
          </w:p>
        </w:tc>
        <w:tc>
          <w:tcPr>
            <w:tcW w:w="453" w:type="pct"/>
            <w:gridSpan w:val="5"/>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404"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208</w:t>
            </w:r>
          </w:p>
        </w:tc>
        <w:tc>
          <w:tcPr>
            <w:tcW w:w="1271" w:type="pct"/>
            <w:gridSpan w:val="9"/>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rFonts w:hint="eastAsia"/>
                <w:sz w:val="18"/>
                <w:szCs w:val="18"/>
              </w:rPr>
              <w:t>社会保障和就业支出</w:t>
            </w:r>
          </w:p>
        </w:tc>
        <w:tc>
          <w:tcPr>
            <w:tcW w:w="59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15.78</w:t>
            </w:r>
          </w:p>
        </w:tc>
        <w:tc>
          <w:tcPr>
            <w:tcW w:w="45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15.78</w:t>
            </w:r>
          </w:p>
        </w:tc>
        <w:tc>
          <w:tcPr>
            <w:tcW w:w="453" w:type="pct"/>
            <w:gridSpan w:val="5"/>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404"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20808</w:t>
            </w:r>
          </w:p>
        </w:tc>
        <w:tc>
          <w:tcPr>
            <w:tcW w:w="1271" w:type="pct"/>
            <w:gridSpan w:val="9"/>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rFonts w:hint="eastAsia"/>
                <w:sz w:val="18"/>
                <w:szCs w:val="18"/>
              </w:rPr>
              <w:t>抚恤</w:t>
            </w:r>
          </w:p>
        </w:tc>
        <w:tc>
          <w:tcPr>
            <w:tcW w:w="59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15.78</w:t>
            </w:r>
          </w:p>
        </w:tc>
        <w:tc>
          <w:tcPr>
            <w:tcW w:w="45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15.78</w:t>
            </w:r>
          </w:p>
        </w:tc>
        <w:tc>
          <w:tcPr>
            <w:tcW w:w="453" w:type="pct"/>
            <w:gridSpan w:val="5"/>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404"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2080801</w:t>
            </w:r>
          </w:p>
        </w:tc>
        <w:tc>
          <w:tcPr>
            <w:tcW w:w="1271" w:type="pct"/>
            <w:gridSpan w:val="9"/>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sz w:val="18"/>
                <w:szCs w:val="18"/>
              </w:rPr>
              <w:t xml:space="preserve">  </w:t>
            </w:r>
            <w:r>
              <w:rPr>
                <w:rFonts w:hint="eastAsia"/>
                <w:sz w:val="18"/>
                <w:szCs w:val="18"/>
              </w:rPr>
              <w:t>死亡抚恤</w:t>
            </w:r>
          </w:p>
        </w:tc>
        <w:tc>
          <w:tcPr>
            <w:tcW w:w="59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15.78</w:t>
            </w:r>
          </w:p>
        </w:tc>
        <w:tc>
          <w:tcPr>
            <w:tcW w:w="45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15.78</w:t>
            </w:r>
          </w:p>
        </w:tc>
        <w:tc>
          <w:tcPr>
            <w:tcW w:w="453" w:type="pct"/>
            <w:gridSpan w:val="5"/>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404"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212</w:t>
            </w:r>
          </w:p>
        </w:tc>
        <w:tc>
          <w:tcPr>
            <w:tcW w:w="1271" w:type="pct"/>
            <w:gridSpan w:val="9"/>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rFonts w:hint="eastAsia"/>
                <w:sz w:val="18"/>
                <w:szCs w:val="18"/>
              </w:rPr>
              <w:t>城乡社区支出</w:t>
            </w:r>
          </w:p>
        </w:tc>
        <w:tc>
          <w:tcPr>
            <w:tcW w:w="59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1,022.67</w:t>
            </w:r>
          </w:p>
        </w:tc>
        <w:tc>
          <w:tcPr>
            <w:tcW w:w="45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1,022.67</w:t>
            </w:r>
          </w:p>
        </w:tc>
        <w:tc>
          <w:tcPr>
            <w:tcW w:w="453" w:type="pct"/>
            <w:gridSpan w:val="5"/>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404"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21208</w:t>
            </w:r>
          </w:p>
        </w:tc>
        <w:tc>
          <w:tcPr>
            <w:tcW w:w="1271" w:type="pct"/>
            <w:gridSpan w:val="9"/>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rFonts w:hint="eastAsia"/>
                <w:sz w:val="18"/>
                <w:szCs w:val="18"/>
              </w:rPr>
              <w:t>国有土地使用权出让收入安排的支出</w:t>
            </w:r>
          </w:p>
        </w:tc>
        <w:tc>
          <w:tcPr>
            <w:tcW w:w="59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1,022.67</w:t>
            </w:r>
          </w:p>
        </w:tc>
        <w:tc>
          <w:tcPr>
            <w:tcW w:w="45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1,022.67</w:t>
            </w:r>
          </w:p>
        </w:tc>
        <w:tc>
          <w:tcPr>
            <w:tcW w:w="453" w:type="pct"/>
            <w:gridSpan w:val="5"/>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404"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2120806</w:t>
            </w:r>
          </w:p>
        </w:tc>
        <w:tc>
          <w:tcPr>
            <w:tcW w:w="1271" w:type="pct"/>
            <w:gridSpan w:val="9"/>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sz w:val="18"/>
                <w:szCs w:val="18"/>
              </w:rPr>
              <w:t xml:space="preserve">  </w:t>
            </w:r>
            <w:r>
              <w:rPr>
                <w:rFonts w:hint="eastAsia"/>
                <w:sz w:val="18"/>
                <w:szCs w:val="18"/>
              </w:rPr>
              <w:t>土地出让业务支出</w:t>
            </w:r>
          </w:p>
        </w:tc>
        <w:tc>
          <w:tcPr>
            <w:tcW w:w="59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1,022.67</w:t>
            </w:r>
          </w:p>
        </w:tc>
        <w:tc>
          <w:tcPr>
            <w:tcW w:w="45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1,022.67</w:t>
            </w:r>
          </w:p>
        </w:tc>
        <w:tc>
          <w:tcPr>
            <w:tcW w:w="453" w:type="pct"/>
            <w:gridSpan w:val="5"/>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404"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213</w:t>
            </w:r>
          </w:p>
        </w:tc>
        <w:tc>
          <w:tcPr>
            <w:tcW w:w="1271" w:type="pct"/>
            <w:gridSpan w:val="9"/>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rFonts w:hint="eastAsia"/>
                <w:sz w:val="18"/>
                <w:szCs w:val="18"/>
              </w:rPr>
              <w:t>农林水支出</w:t>
            </w:r>
          </w:p>
        </w:tc>
        <w:tc>
          <w:tcPr>
            <w:tcW w:w="59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183.96</w:t>
            </w:r>
          </w:p>
        </w:tc>
        <w:tc>
          <w:tcPr>
            <w:tcW w:w="45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183.96</w:t>
            </w:r>
          </w:p>
        </w:tc>
        <w:tc>
          <w:tcPr>
            <w:tcW w:w="453" w:type="pct"/>
            <w:gridSpan w:val="5"/>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404"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21301</w:t>
            </w:r>
          </w:p>
        </w:tc>
        <w:tc>
          <w:tcPr>
            <w:tcW w:w="1271" w:type="pct"/>
            <w:gridSpan w:val="9"/>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rFonts w:hint="eastAsia"/>
                <w:sz w:val="18"/>
                <w:szCs w:val="18"/>
              </w:rPr>
              <w:t>农业农村</w:t>
            </w:r>
          </w:p>
        </w:tc>
        <w:tc>
          <w:tcPr>
            <w:tcW w:w="59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28.50</w:t>
            </w:r>
          </w:p>
        </w:tc>
        <w:tc>
          <w:tcPr>
            <w:tcW w:w="45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28.50</w:t>
            </w:r>
          </w:p>
        </w:tc>
        <w:tc>
          <w:tcPr>
            <w:tcW w:w="453" w:type="pct"/>
            <w:gridSpan w:val="5"/>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404"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2130199</w:t>
            </w:r>
          </w:p>
        </w:tc>
        <w:tc>
          <w:tcPr>
            <w:tcW w:w="1271" w:type="pct"/>
            <w:gridSpan w:val="9"/>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sz w:val="18"/>
                <w:szCs w:val="18"/>
              </w:rPr>
              <w:t xml:space="preserve">  </w:t>
            </w:r>
            <w:r>
              <w:rPr>
                <w:rFonts w:hint="eastAsia"/>
                <w:sz w:val="18"/>
                <w:szCs w:val="18"/>
              </w:rPr>
              <w:t>其他农业农村支出</w:t>
            </w:r>
          </w:p>
        </w:tc>
        <w:tc>
          <w:tcPr>
            <w:tcW w:w="59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28.50</w:t>
            </w:r>
          </w:p>
        </w:tc>
        <w:tc>
          <w:tcPr>
            <w:tcW w:w="45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28.50</w:t>
            </w:r>
          </w:p>
        </w:tc>
        <w:tc>
          <w:tcPr>
            <w:tcW w:w="453" w:type="pct"/>
            <w:gridSpan w:val="5"/>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404"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21307</w:t>
            </w:r>
          </w:p>
        </w:tc>
        <w:tc>
          <w:tcPr>
            <w:tcW w:w="1271" w:type="pct"/>
            <w:gridSpan w:val="9"/>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rFonts w:hint="eastAsia"/>
                <w:sz w:val="18"/>
                <w:szCs w:val="18"/>
              </w:rPr>
              <w:t>农村综合改革</w:t>
            </w:r>
          </w:p>
        </w:tc>
        <w:tc>
          <w:tcPr>
            <w:tcW w:w="59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155.46</w:t>
            </w:r>
          </w:p>
        </w:tc>
        <w:tc>
          <w:tcPr>
            <w:tcW w:w="45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155.46</w:t>
            </w:r>
          </w:p>
        </w:tc>
        <w:tc>
          <w:tcPr>
            <w:tcW w:w="453" w:type="pct"/>
            <w:gridSpan w:val="5"/>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404"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2130705</w:t>
            </w:r>
          </w:p>
        </w:tc>
        <w:tc>
          <w:tcPr>
            <w:tcW w:w="1271" w:type="pct"/>
            <w:gridSpan w:val="9"/>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sz w:val="18"/>
                <w:szCs w:val="18"/>
              </w:rPr>
              <w:t xml:space="preserve">  </w:t>
            </w:r>
            <w:r>
              <w:rPr>
                <w:rFonts w:hint="eastAsia"/>
                <w:sz w:val="18"/>
                <w:szCs w:val="18"/>
              </w:rPr>
              <w:t>对村民委员会和村党支部的补助</w:t>
            </w:r>
          </w:p>
        </w:tc>
        <w:tc>
          <w:tcPr>
            <w:tcW w:w="59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155.46</w:t>
            </w:r>
          </w:p>
        </w:tc>
        <w:tc>
          <w:tcPr>
            <w:tcW w:w="45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155.46</w:t>
            </w:r>
          </w:p>
        </w:tc>
        <w:tc>
          <w:tcPr>
            <w:tcW w:w="453" w:type="pct"/>
            <w:gridSpan w:val="5"/>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404"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220</w:t>
            </w:r>
          </w:p>
        </w:tc>
        <w:tc>
          <w:tcPr>
            <w:tcW w:w="1271" w:type="pct"/>
            <w:gridSpan w:val="9"/>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rFonts w:hint="eastAsia"/>
                <w:sz w:val="18"/>
                <w:szCs w:val="18"/>
              </w:rPr>
              <w:t>自然资源海洋气象等支出</w:t>
            </w:r>
          </w:p>
        </w:tc>
        <w:tc>
          <w:tcPr>
            <w:tcW w:w="59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2,675.76</w:t>
            </w:r>
          </w:p>
        </w:tc>
        <w:tc>
          <w:tcPr>
            <w:tcW w:w="45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2,217.13</w:t>
            </w:r>
          </w:p>
        </w:tc>
        <w:tc>
          <w:tcPr>
            <w:tcW w:w="453" w:type="pct"/>
            <w:gridSpan w:val="5"/>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87.90</w:t>
            </w:r>
          </w:p>
        </w:tc>
        <w:tc>
          <w:tcPr>
            <w:tcW w:w="404"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370.73</w:t>
            </w: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22001</w:t>
            </w:r>
          </w:p>
        </w:tc>
        <w:tc>
          <w:tcPr>
            <w:tcW w:w="1271" w:type="pct"/>
            <w:gridSpan w:val="9"/>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rFonts w:hint="eastAsia"/>
                <w:sz w:val="18"/>
                <w:szCs w:val="18"/>
              </w:rPr>
              <w:t>自然资源事务</w:t>
            </w:r>
          </w:p>
        </w:tc>
        <w:tc>
          <w:tcPr>
            <w:tcW w:w="590" w:type="pct"/>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2,675.76</w:t>
            </w:r>
          </w:p>
        </w:tc>
        <w:tc>
          <w:tcPr>
            <w:tcW w:w="456" w:type="pct"/>
            <w:gridSpan w:val="2"/>
            <w:tcBorders>
              <w:top w:val="nil"/>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2,217.13</w:t>
            </w:r>
          </w:p>
        </w:tc>
        <w:tc>
          <w:tcPr>
            <w:tcW w:w="453" w:type="pct"/>
            <w:gridSpan w:val="5"/>
            <w:tcBorders>
              <w:top w:val="single" w:color="auto" w:sz="4" w:space="0"/>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87.90</w:t>
            </w:r>
          </w:p>
        </w:tc>
        <w:tc>
          <w:tcPr>
            <w:tcW w:w="404" w:type="pct"/>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single" w:color="auto" w:sz="4" w:space="0"/>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single" w:color="auto" w:sz="4" w:space="0"/>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18"/>
                <w:szCs w:val="18"/>
              </w:rPr>
            </w:pPr>
            <w:r>
              <w:rPr>
                <w:rFonts w:ascii="宋体" w:hAnsi="宋体" w:cs="宋体"/>
                <w:kern w:val="0"/>
                <w:sz w:val="18"/>
                <w:szCs w:val="18"/>
              </w:rPr>
              <w:t>370.73</w:t>
            </w: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2200101</w:t>
            </w:r>
          </w:p>
        </w:tc>
        <w:tc>
          <w:tcPr>
            <w:tcW w:w="1271" w:type="pct"/>
            <w:gridSpan w:val="9"/>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sz w:val="18"/>
                <w:szCs w:val="18"/>
              </w:rPr>
              <w:t xml:space="preserve">  </w:t>
            </w:r>
            <w:r>
              <w:rPr>
                <w:rFonts w:hint="eastAsia"/>
                <w:sz w:val="18"/>
                <w:szCs w:val="18"/>
              </w:rPr>
              <w:t>行政运行</w:t>
            </w:r>
          </w:p>
        </w:tc>
        <w:tc>
          <w:tcPr>
            <w:tcW w:w="59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1,313.08</w:t>
            </w:r>
          </w:p>
        </w:tc>
        <w:tc>
          <w:tcPr>
            <w:tcW w:w="456" w:type="pct"/>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1,225.18</w:t>
            </w:r>
          </w:p>
        </w:tc>
        <w:tc>
          <w:tcPr>
            <w:tcW w:w="453" w:type="pct"/>
            <w:gridSpan w:val="5"/>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18"/>
                <w:szCs w:val="18"/>
              </w:rPr>
            </w:pPr>
            <w:r>
              <w:rPr>
                <w:rFonts w:ascii="宋体" w:hAnsi="宋体" w:cs="宋体"/>
                <w:kern w:val="0"/>
                <w:sz w:val="18"/>
                <w:szCs w:val="18"/>
              </w:rPr>
              <w:t>87.9</w:t>
            </w:r>
            <w:r>
              <w:rPr>
                <w:rFonts w:ascii="宋体" w:cs="宋体"/>
                <w:kern w:val="0"/>
                <w:sz w:val="18"/>
                <w:szCs w:val="18"/>
              </w:rPr>
              <w:t>0</w:t>
            </w:r>
          </w:p>
        </w:tc>
        <w:tc>
          <w:tcPr>
            <w:tcW w:w="404" w:type="pct"/>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18"/>
                <w:szCs w:val="18"/>
              </w:rPr>
            </w:pPr>
          </w:p>
        </w:tc>
        <w:tc>
          <w:tcPr>
            <w:tcW w:w="565" w:type="pct"/>
            <w:gridSpan w:val="4"/>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18"/>
                <w:szCs w:val="18"/>
              </w:rPr>
            </w:pPr>
          </w:p>
        </w:tc>
        <w:tc>
          <w:tcPr>
            <w:tcW w:w="38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18"/>
                <w:szCs w:val="18"/>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r>
              <w:rPr>
                <w:sz w:val="15"/>
                <w:szCs w:val="15"/>
              </w:rPr>
              <w:t>2200102</w:t>
            </w:r>
          </w:p>
        </w:tc>
        <w:tc>
          <w:tcPr>
            <w:tcW w:w="1271" w:type="pct"/>
            <w:gridSpan w:val="9"/>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sz w:val="18"/>
                <w:szCs w:val="18"/>
              </w:rPr>
              <w:t xml:space="preserve">  </w:t>
            </w:r>
            <w:r>
              <w:rPr>
                <w:rFonts w:hint="eastAsia"/>
                <w:sz w:val="18"/>
                <w:szCs w:val="18"/>
              </w:rPr>
              <w:t>一般行政管理事务</w:t>
            </w:r>
          </w:p>
        </w:tc>
        <w:tc>
          <w:tcPr>
            <w:tcW w:w="590" w:type="pct"/>
            <w:tcBorders>
              <w:top w:val="single" w:color="auto" w:sz="4" w:space="0"/>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735.68</w:t>
            </w:r>
          </w:p>
        </w:tc>
        <w:tc>
          <w:tcPr>
            <w:tcW w:w="456" w:type="pct"/>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364.95</w:t>
            </w:r>
          </w:p>
        </w:tc>
        <w:tc>
          <w:tcPr>
            <w:tcW w:w="453" w:type="pct"/>
            <w:gridSpan w:val="5"/>
            <w:tcBorders>
              <w:top w:val="single" w:color="auto" w:sz="4" w:space="0"/>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404" w:type="pct"/>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single" w:color="auto" w:sz="4" w:space="0"/>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single" w:color="auto" w:sz="4" w:space="0"/>
              <w:left w:val="nil"/>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18"/>
                <w:szCs w:val="18"/>
              </w:rPr>
            </w:pPr>
            <w:r>
              <w:rPr>
                <w:rFonts w:ascii="宋体" w:hAnsi="宋体" w:cs="宋体"/>
                <w:kern w:val="0"/>
                <w:sz w:val="18"/>
                <w:szCs w:val="18"/>
              </w:rPr>
              <w:t>370.73</w:t>
            </w: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5"/>
                <w:szCs w:val="15"/>
              </w:rPr>
            </w:pPr>
            <w:r>
              <w:rPr>
                <w:sz w:val="15"/>
                <w:szCs w:val="15"/>
              </w:rPr>
              <w:t>2200109</w:t>
            </w:r>
          </w:p>
        </w:tc>
        <w:tc>
          <w:tcPr>
            <w:tcW w:w="1271" w:type="pct"/>
            <w:gridSpan w:val="9"/>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sz w:val="18"/>
                <w:szCs w:val="18"/>
              </w:rPr>
              <w:t xml:space="preserve">  </w:t>
            </w:r>
            <w:r>
              <w:rPr>
                <w:rFonts w:hint="eastAsia"/>
                <w:sz w:val="18"/>
                <w:szCs w:val="18"/>
              </w:rPr>
              <w:t>自然资源调查与确权登记</w:t>
            </w:r>
          </w:p>
        </w:tc>
        <w:tc>
          <w:tcPr>
            <w:tcW w:w="59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57.00</w:t>
            </w:r>
          </w:p>
        </w:tc>
        <w:tc>
          <w:tcPr>
            <w:tcW w:w="456" w:type="pct"/>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57.00</w:t>
            </w:r>
          </w:p>
        </w:tc>
        <w:tc>
          <w:tcPr>
            <w:tcW w:w="453" w:type="pct"/>
            <w:gridSpan w:val="5"/>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404" w:type="pct"/>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sz w:val="18"/>
                <w:szCs w:val="18"/>
              </w:rPr>
              <w:t>2200199</w:t>
            </w:r>
          </w:p>
        </w:tc>
        <w:tc>
          <w:tcPr>
            <w:tcW w:w="1271" w:type="pct"/>
            <w:gridSpan w:val="9"/>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sz w:val="18"/>
                <w:szCs w:val="18"/>
              </w:rPr>
              <w:t xml:space="preserve">  </w:t>
            </w:r>
            <w:r>
              <w:rPr>
                <w:rFonts w:hint="eastAsia"/>
                <w:sz w:val="18"/>
                <w:szCs w:val="18"/>
              </w:rPr>
              <w:t>其他自然资源事务支出</w:t>
            </w:r>
          </w:p>
        </w:tc>
        <w:tc>
          <w:tcPr>
            <w:tcW w:w="59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570.00</w:t>
            </w:r>
          </w:p>
        </w:tc>
        <w:tc>
          <w:tcPr>
            <w:tcW w:w="456" w:type="pct"/>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570.00</w:t>
            </w:r>
          </w:p>
        </w:tc>
        <w:tc>
          <w:tcPr>
            <w:tcW w:w="453" w:type="pct"/>
            <w:gridSpan w:val="5"/>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404" w:type="pct"/>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565" w:type="pct"/>
            <w:gridSpan w:val="4"/>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8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sz w:val="18"/>
                <w:szCs w:val="18"/>
              </w:rPr>
              <w:t>221</w:t>
            </w:r>
          </w:p>
        </w:tc>
        <w:tc>
          <w:tcPr>
            <w:tcW w:w="1271" w:type="pct"/>
            <w:gridSpan w:val="9"/>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rFonts w:hint="eastAsia"/>
                <w:sz w:val="18"/>
                <w:szCs w:val="18"/>
              </w:rPr>
              <w:t>住房保障支出</w:t>
            </w:r>
          </w:p>
        </w:tc>
        <w:tc>
          <w:tcPr>
            <w:tcW w:w="59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93.99</w:t>
            </w:r>
          </w:p>
        </w:tc>
        <w:tc>
          <w:tcPr>
            <w:tcW w:w="456" w:type="pct"/>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93.99</w:t>
            </w:r>
          </w:p>
        </w:tc>
        <w:tc>
          <w:tcPr>
            <w:tcW w:w="453" w:type="pct"/>
            <w:gridSpan w:val="5"/>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22"/>
              </w:rPr>
            </w:pPr>
          </w:p>
        </w:tc>
        <w:tc>
          <w:tcPr>
            <w:tcW w:w="346" w:type="pct"/>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22"/>
              </w:rPr>
            </w:pPr>
          </w:p>
        </w:tc>
        <w:tc>
          <w:tcPr>
            <w:tcW w:w="404" w:type="pct"/>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22"/>
              </w:rPr>
            </w:pPr>
          </w:p>
        </w:tc>
        <w:tc>
          <w:tcPr>
            <w:tcW w:w="565" w:type="pct"/>
            <w:gridSpan w:val="4"/>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22"/>
              </w:rPr>
            </w:pPr>
          </w:p>
        </w:tc>
        <w:tc>
          <w:tcPr>
            <w:tcW w:w="38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22"/>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sz w:val="18"/>
                <w:szCs w:val="18"/>
              </w:rPr>
              <w:t>22102</w:t>
            </w:r>
          </w:p>
        </w:tc>
        <w:tc>
          <w:tcPr>
            <w:tcW w:w="1271" w:type="pct"/>
            <w:gridSpan w:val="9"/>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rFonts w:hint="eastAsia"/>
                <w:sz w:val="18"/>
                <w:szCs w:val="18"/>
              </w:rPr>
              <w:t>住房改革支出</w:t>
            </w:r>
          </w:p>
        </w:tc>
        <w:tc>
          <w:tcPr>
            <w:tcW w:w="59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93.99</w:t>
            </w:r>
          </w:p>
        </w:tc>
        <w:tc>
          <w:tcPr>
            <w:tcW w:w="456" w:type="pct"/>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r>
              <w:rPr>
                <w:rFonts w:ascii="宋体" w:hAnsi="宋体" w:cs="宋体"/>
                <w:kern w:val="0"/>
                <w:sz w:val="18"/>
                <w:szCs w:val="18"/>
              </w:rPr>
              <w:t>93.99</w:t>
            </w:r>
          </w:p>
        </w:tc>
        <w:tc>
          <w:tcPr>
            <w:tcW w:w="453" w:type="pct"/>
            <w:gridSpan w:val="5"/>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hAnsi="宋体" w:cs="宋体"/>
                <w:kern w:val="0"/>
                <w:sz w:val="18"/>
                <w:szCs w:val="18"/>
              </w:rPr>
            </w:pPr>
          </w:p>
        </w:tc>
        <w:tc>
          <w:tcPr>
            <w:tcW w:w="346" w:type="pct"/>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22"/>
              </w:rPr>
            </w:pPr>
          </w:p>
        </w:tc>
        <w:tc>
          <w:tcPr>
            <w:tcW w:w="404" w:type="pct"/>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22"/>
              </w:rPr>
            </w:pPr>
          </w:p>
        </w:tc>
        <w:tc>
          <w:tcPr>
            <w:tcW w:w="565" w:type="pct"/>
            <w:gridSpan w:val="4"/>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22"/>
              </w:rPr>
            </w:pPr>
          </w:p>
        </w:tc>
        <w:tc>
          <w:tcPr>
            <w:tcW w:w="38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22"/>
              </w:rPr>
            </w:pPr>
          </w:p>
        </w:tc>
      </w:tr>
      <w:tr>
        <w:tblPrEx>
          <w:tblCellMar>
            <w:top w:w="0" w:type="dxa"/>
            <w:left w:w="0" w:type="dxa"/>
            <w:bottom w:w="0" w:type="dxa"/>
            <w:right w:w="0" w:type="dxa"/>
          </w:tblCellMar>
        </w:tblPrEx>
        <w:trPr>
          <w:gridBefore w:val="2"/>
          <w:wBefore w:w="53" w:type="pct"/>
          <w:trHeight w:val="284" w:hRule="exact"/>
        </w:trPr>
        <w:tc>
          <w:tcPr>
            <w:tcW w:w="482"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rPr>
                <w:sz w:val="18"/>
                <w:szCs w:val="18"/>
              </w:rPr>
            </w:pPr>
            <w:r>
              <w:rPr>
                <w:sz w:val="18"/>
                <w:szCs w:val="18"/>
              </w:rPr>
              <w:t>2210201</w:t>
            </w:r>
          </w:p>
        </w:tc>
        <w:tc>
          <w:tcPr>
            <w:tcW w:w="1271" w:type="pct"/>
            <w:gridSpan w:val="9"/>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ind w:firstLine="180" w:firstLineChars="100"/>
              <w:rPr>
                <w:sz w:val="18"/>
                <w:szCs w:val="18"/>
              </w:rPr>
            </w:pPr>
            <w:r>
              <w:rPr>
                <w:rFonts w:hint="eastAsia"/>
                <w:sz w:val="18"/>
                <w:szCs w:val="18"/>
              </w:rPr>
              <w:t>住房公积金</w:t>
            </w:r>
          </w:p>
        </w:tc>
        <w:tc>
          <w:tcPr>
            <w:tcW w:w="59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18"/>
                <w:szCs w:val="18"/>
              </w:rPr>
            </w:pPr>
            <w:r>
              <w:rPr>
                <w:rFonts w:ascii="宋体" w:hAnsi="宋体" w:cs="宋体"/>
                <w:kern w:val="0"/>
                <w:sz w:val="18"/>
                <w:szCs w:val="18"/>
              </w:rPr>
              <w:t>93.99</w:t>
            </w:r>
          </w:p>
        </w:tc>
        <w:tc>
          <w:tcPr>
            <w:tcW w:w="456" w:type="pct"/>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18"/>
                <w:szCs w:val="18"/>
              </w:rPr>
            </w:pPr>
            <w:r>
              <w:rPr>
                <w:rFonts w:ascii="宋体" w:hAnsi="宋体" w:cs="宋体"/>
                <w:kern w:val="0"/>
                <w:sz w:val="18"/>
                <w:szCs w:val="18"/>
              </w:rPr>
              <w:t xml:space="preserve">  93.99</w:t>
            </w:r>
          </w:p>
        </w:tc>
        <w:tc>
          <w:tcPr>
            <w:tcW w:w="453" w:type="pct"/>
            <w:gridSpan w:val="5"/>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18"/>
                <w:szCs w:val="18"/>
              </w:rPr>
            </w:pPr>
          </w:p>
        </w:tc>
        <w:tc>
          <w:tcPr>
            <w:tcW w:w="346" w:type="pct"/>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22"/>
              </w:rPr>
            </w:pPr>
          </w:p>
        </w:tc>
        <w:tc>
          <w:tcPr>
            <w:tcW w:w="404" w:type="pct"/>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22"/>
              </w:rPr>
            </w:pPr>
          </w:p>
        </w:tc>
        <w:tc>
          <w:tcPr>
            <w:tcW w:w="565" w:type="pct"/>
            <w:gridSpan w:val="4"/>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22"/>
              </w:rPr>
            </w:pPr>
          </w:p>
        </w:tc>
        <w:tc>
          <w:tcPr>
            <w:tcW w:w="380"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widowControl/>
              <w:jc w:val="right"/>
              <w:rPr>
                <w:rFonts w:ascii="宋体" w:cs="宋体"/>
                <w:kern w:val="0"/>
                <w:sz w:val="22"/>
              </w:rPr>
            </w:pPr>
          </w:p>
        </w:tc>
      </w:tr>
      <w:tr>
        <w:tblPrEx>
          <w:tblCellMar>
            <w:top w:w="0" w:type="dxa"/>
            <w:left w:w="0" w:type="dxa"/>
            <w:bottom w:w="0" w:type="dxa"/>
            <w:right w:w="0" w:type="dxa"/>
          </w:tblCellMar>
        </w:tblPrEx>
        <w:trPr>
          <w:gridBefore w:val="2"/>
          <w:wBefore w:w="53" w:type="pct"/>
          <w:trHeight w:val="615" w:hRule="atLeast"/>
        </w:trPr>
        <w:tc>
          <w:tcPr>
            <w:tcW w:w="4947" w:type="pct"/>
            <w:gridSpan w:val="27"/>
            <w:tcBorders>
              <w:top w:val="single" w:color="auto" w:sz="4" w:space="0"/>
              <w:left w:val="nil"/>
              <w:bottom w:val="nil"/>
              <w:right w:val="nil"/>
            </w:tcBorders>
            <w:tcMar>
              <w:top w:w="15" w:type="dxa"/>
              <w:left w:w="15" w:type="dxa"/>
              <w:bottom w:w="0" w:type="dxa"/>
              <w:right w:w="15" w:type="dxa"/>
            </w:tcMar>
            <w:vAlign w:val="center"/>
          </w:tcPr>
          <w:p>
            <w:r>
              <w:rPr>
                <w:rFonts w:hint="eastAsia"/>
              </w:rPr>
              <w:t>注：本表反映部门本年度取得的各项收入情况。</w:t>
            </w:r>
          </w:p>
          <w:p/>
        </w:tc>
      </w:tr>
      <w:tr>
        <w:tblPrEx>
          <w:tblCellMar>
            <w:top w:w="0" w:type="dxa"/>
            <w:left w:w="108" w:type="dxa"/>
            <w:bottom w:w="0" w:type="dxa"/>
            <w:right w:w="108" w:type="dxa"/>
          </w:tblCellMar>
        </w:tblPrEx>
        <w:trPr>
          <w:trHeight w:val="435" w:hRule="atLeast"/>
        </w:trPr>
        <w:tc>
          <w:tcPr>
            <w:tcW w:w="5000" w:type="pct"/>
            <w:gridSpan w:val="29"/>
            <w:tcBorders>
              <w:top w:val="nil"/>
              <w:left w:val="nil"/>
              <w:bottom w:val="nil"/>
              <w:right w:val="nil"/>
            </w:tcBorders>
            <w:noWrap/>
            <w:vAlign w:val="center"/>
          </w:tcPr>
          <w:p>
            <w:pPr>
              <w:widowControl/>
              <w:jc w:val="center"/>
              <w:rPr>
                <w:rFonts w:ascii="宋体" w:cs="宋体"/>
                <w:b/>
                <w:color w:val="000000"/>
                <w:kern w:val="0"/>
                <w:sz w:val="28"/>
                <w:szCs w:val="28"/>
              </w:rPr>
            </w:pPr>
          </w:p>
          <w:p>
            <w:pPr>
              <w:widowControl/>
              <w:jc w:val="center"/>
              <w:rPr>
                <w:rFonts w:ascii="华文中宋" w:hAnsi="华文中宋" w:eastAsia="华文中宋" w:cs="宋体"/>
                <w:b/>
                <w:color w:val="000000"/>
                <w:kern w:val="0"/>
                <w:sz w:val="32"/>
                <w:szCs w:val="32"/>
              </w:rPr>
            </w:pPr>
            <w:r>
              <w:rPr>
                <w:rFonts w:hint="eastAsia" w:ascii="宋体" w:hAnsi="宋体" w:cs="宋体"/>
                <w:b/>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2427" w:type="pct"/>
            <w:gridSpan w:val="14"/>
            <w:tcBorders>
              <w:top w:val="nil"/>
              <w:left w:val="nil"/>
              <w:bottom w:val="nil"/>
              <w:right w:val="nil"/>
            </w:tcBorders>
            <w:shd w:val="clear" w:color="000000" w:fill="FFFFFF"/>
            <w:noWrap/>
            <w:vAlign w:val="center"/>
          </w:tcPr>
          <w:p>
            <w:pPr>
              <w:widowControl/>
              <w:jc w:val="right"/>
              <w:rPr>
                <w:rFonts w:ascii="宋体" w:cs="宋体"/>
                <w:kern w:val="0"/>
                <w:sz w:val="18"/>
                <w:szCs w:val="18"/>
              </w:rPr>
            </w:pPr>
            <w:r>
              <w:rPr>
                <w:rFonts w:hint="eastAsia" w:ascii="宋体" w:hAnsi="宋体" w:cs="宋体"/>
                <w:kern w:val="0"/>
                <w:sz w:val="18"/>
                <w:szCs w:val="18"/>
              </w:rPr>
              <w:t>　</w:t>
            </w:r>
          </w:p>
          <w:p>
            <w:pPr>
              <w:widowControl/>
              <w:ind w:right="720"/>
              <w:rPr>
                <w:rFonts w:ascii="宋体" w:cs="宋体"/>
                <w:kern w:val="0"/>
                <w:sz w:val="18"/>
                <w:szCs w:val="18"/>
              </w:rPr>
            </w:pPr>
            <w:r>
              <w:rPr>
                <w:rFonts w:hint="eastAsia" w:ascii="宋体" w:hAnsi="宋体" w:cs="宋体"/>
                <w:kern w:val="0"/>
                <w:sz w:val="18"/>
                <w:szCs w:val="18"/>
              </w:rPr>
              <w:t>部门：沅江市国土资源局</w:t>
            </w:r>
          </w:p>
        </w:tc>
        <w:tc>
          <w:tcPr>
            <w:tcW w:w="446" w:type="pct"/>
            <w:gridSpan w:val="2"/>
            <w:tcBorders>
              <w:top w:val="nil"/>
              <w:left w:val="nil"/>
              <w:bottom w:val="nil"/>
              <w:right w:val="nil"/>
            </w:tcBorders>
            <w:shd w:val="clear" w:color="000000" w:fill="FFFFFF"/>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311" w:type="pct"/>
            <w:gridSpan w:val="3"/>
            <w:tcBorders>
              <w:top w:val="nil"/>
              <w:left w:val="nil"/>
              <w:bottom w:val="nil"/>
              <w:right w:val="nil"/>
            </w:tcBorders>
            <w:shd w:val="clear" w:color="000000" w:fill="FFFFFF"/>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340" w:type="pct"/>
            <w:gridSpan w:val="2"/>
            <w:tcBorders>
              <w:top w:val="nil"/>
              <w:left w:val="nil"/>
              <w:bottom w:val="nil"/>
              <w:right w:val="nil"/>
            </w:tcBorders>
            <w:shd w:val="clear" w:color="000000" w:fill="FFFFFF"/>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464" w:type="pct"/>
            <w:gridSpan w:val="2"/>
            <w:tcBorders>
              <w:top w:val="nil"/>
              <w:left w:val="nil"/>
              <w:bottom w:val="nil"/>
              <w:right w:val="nil"/>
            </w:tcBorders>
            <w:shd w:val="clear" w:color="000000" w:fill="FFFFFF"/>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04" w:type="pct"/>
            <w:gridSpan w:val="3"/>
            <w:tcBorders>
              <w:top w:val="nil"/>
              <w:left w:val="nil"/>
              <w:bottom w:val="nil"/>
              <w:right w:val="nil"/>
            </w:tcBorders>
            <w:shd w:val="clear" w:color="000000" w:fill="FFFFFF"/>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608" w:type="pct"/>
            <w:gridSpan w:val="3"/>
            <w:tcBorders>
              <w:top w:val="nil"/>
              <w:left w:val="nil"/>
              <w:bottom w:val="nil"/>
              <w:right w:val="nil"/>
            </w:tcBorders>
            <w:shd w:val="clear" w:color="000000" w:fill="FFFFFF"/>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03</w:t>
            </w:r>
            <w:r>
              <w:rPr>
                <w:rFonts w:hint="eastAsia" w:ascii="宋体" w:hAnsi="宋体" w:cs="宋体"/>
                <w:color w:val="000000"/>
                <w:kern w:val="0"/>
                <w:sz w:val="18"/>
                <w:szCs w:val="18"/>
              </w:rPr>
              <w:t>表</w:t>
            </w:r>
          </w:p>
          <w:p>
            <w:pPr>
              <w:widowControl/>
              <w:jc w:val="right"/>
              <w:rPr>
                <w:rFonts w:ascii="宋体" w:cs="宋体"/>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trHeight w:val="255" w:hRule="exact"/>
        </w:trPr>
        <w:tc>
          <w:tcPr>
            <w:tcW w:w="2427" w:type="pct"/>
            <w:gridSpan w:val="1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18"/>
                <w:szCs w:val="18"/>
              </w:rPr>
            </w:pPr>
            <w:r>
              <w:rPr>
                <w:rFonts w:hint="eastAsia" w:ascii="宋体" w:hAnsi="宋体" w:cs="宋体"/>
                <w:kern w:val="0"/>
                <w:sz w:val="18"/>
                <w:szCs w:val="18"/>
              </w:rPr>
              <w:t>项</w:t>
            </w:r>
            <w:r>
              <w:rPr>
                <w:rFonts w:ascii="宋体" w:hAnsi="宋体" w:cs="宋体"/>
                <w:kern w:val="0"/>
                <w:sz w:val="18"/>
                <w:szCs w:val="18"/>
              </w:rPr>
              <w:t xml:space="preserve">    </w:t>
            </w:r>
            <w:r>
              <w:rPr>
                <w:rFonts w:hint="eastAsia" w:ascii="宋体" w:hAnsi="宋体" w:cs="宋体"/>
                <w:kern w:val="0"/>
                <w:sz w:val="18"/>
                <w:szCs w:val="18"/>
              </w:rPr>
              <w:t>目</w:t>
            </w:r>
          </w:p>
        </w:tc>
        <w:tc>
          <w:tcPr>
            <w:tcW w:w="446" w:type="pct"/>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18"/>
                <w:szCs w:val="18"/>
              </w:rPr>
            </w:pPr>
            <w:r>
              <w:rPr>
                <w:rFonts w:hint="eastAsia" w:ascii="宋体" w:hAnsi="宋体" w:cs="宋体"/>
                <w:kern w:val="0"/>
                <w:sz w:val="18"/>
                <w:szCs w:val="18"/>
              </w:rPr>
              <w:t>本年支出合计</w:t>
            </w:r>
          </w:p>
        </w:tc>
        <w:tc>
          <w:tcPr>
            <w:tcW w:w="311" w:type="pct"/>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18"/>
                <w:szCs w:val="18"/>
              </w:rPr>
            </w:pPr>
            <w:r>
              <w:rPr>
                <w:rFonts w:hint="eastAsia" w:ascii="宋体" w:hAnsi="宋体" w:cs="宋体"/>
                <w:kern w:val="0"/>
                <w:sz w:val="18"/>
                <w:szCs w:val="18"/>
              </w:rPr>
              <w:t>基本支出</w:t>
            </w:r>
          </w:p>
        </w:tc>
        <w:tc>
          <w:tcPr>
            <w:tcW w:w="340" w:type="pct"/>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18"/>
                <w:szCs w:val="18"/>
              </w:rPr>
            </w:pPr>
            <w:r>
              <w:rPr>
                <w:rFonts w:hint="eastAsia" w:ascii="宋体" w:hAnsi="宋体" w:cs="宋体"/>
                <w:kern w:val="0"/>
                <w:sz w:val="18"/>
                <w:szCs w:val="18"/>
              </w:rPr>
              <w:t>项目支出</w:t>
            </w:r>
          </w:p>
        </w:tc>
        <w:tc>
          <w:tcPr>
            <w:tcW w:w="464" w:type="pct"/>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18"/>
                <w:szCs w:val="18"/>
              </w:rPr>
            </w:pPr>
            <w:r>
              <w:rPr>
                <w:rFonts w:hint="eastAsia" w:ascii="宋体" w:hAnsi="宋体" w:cs="宋体"/>
                <w:kern w:val="0"/>
                <w:sz w:val="18"/>
                <w:szCs w:val="18"/>
              </w:rPr>
              <w:t>上缴上级支出</w:t>
            </w:r>
          </w:p>
        </w:tc>
        <w:tc>
          <w:tcPr>
            <w:tcW w:w="404" w:type="pct"/>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18"/>
                <w:szCs w:val="18"/>
              </w:rPr>
            </w:pPr>
            <w:r>
              <w:rPr>
                <w:rFonts w:hint="eastAsia" w:ascii="宋体" w:hAnsi="宋体" w:cs="宋体"/>
                <w:kern w:val="0"/>
                <w:sz w:val="18"/>
                <w:szCs w:val="18"/>
              </w:rPr>
              <w:t>经营支出</w:t>
            </w:r>
          </w:p>
        </w:tc>
        <w:tc>
          <w:tcPr>
            <w:tcW w:w="608" w:type="pct"/>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18"/>
                <w:szCs w:val="18"/>
              </w:rPr>
            </w:pPr>
            <w:r>
              <w:rPr>
                <w:rFonts w:hint="eastAsia" w:ascii="宋体" w:hAnsi="宋体" w:cs="宋体"/>
                <w:kern w:val="0"/>
                <w:sz w:val="18"/>
                <w:szCs w:val="18"/>
              </w:rPr>
              <w:t>对附属单位补助支出</w:t>
            </w:r>
          </w:p>
        </w:tc>
      </w:tr>
      <w:tr>
        <w:tblPrEx>
          <w:tblCellMar>
            <w:top w:w="0" w:type="dxa"/>
            <w:left w:w="108" w:type="dxa"/>
            <w:bottom w:w="0" w:type="dxa"/>
            <w:right w:w="108" w:type="dxa"/>
          </w:tblCellMar>
        </w:tblPrEx>
        <w:trPr>
          <w:trHeight w:val="255" w:hRule="exact"/>
        </w:trPr>
        <w:tc>
          <w:tcPr>
            <w:tcW w:w="670" w:type="pct"/>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18"/>
                <w:szCs w:val="18"/>
              </w:rPr>
            </w:pPr>
            <w:r>
              <w:rPr>
                <w:rFonts w:hint="eastAsia" w:ascii="宋体" w:hAnsi="宋体" w:cs="宋体"/>
                <w:kern w:val="0"/>
                <w:sz w:val="18"/>
                <w:szCs w:val="18"/>
              </w:rPr>
              <w:t>功能分类科目编码</w:t>
            </w:r>
          </w:p>
        </w:tc>
        <w:tc>
          <w:tcPr>
            <w:tcW w:w="1757" w:type="pct"/>
            <w:gridSpan w:val="9"/>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18"/>
                <w:szCs w:val="18"/>
              </w:rPr>
            </w:pPr>
            <w:r>
              <w:rPr>
                <w:rFonts w:hint="eastAsia" w:ascii="宋体" w:hAnsi="宋体" w:cs="宋体"/>
                <w:kern w:val="0"/>
                <w:sz w:val="18"/>
                <w:szCs w:val="18"/>
              </w:rPr>
              <w:t>科目名称</w:t>
            </w:r>
          </w:p>
        </w:tc>
        <w:tc>
          <w:tcPr>
            <w:tcW w:w="446"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311"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34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464"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404"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608"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312" w:hRule="atLeast"/>
        </w:trPr>
        <w:tc>
          <w:tcPr>
            <w:tcW w:w="670" w:type="pct"/>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1757" w:type="pct"/>
            <w:gridSpan w:val="9"/>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446"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311"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34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464"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404"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c>
          <w:tcPr>
            <w:tcW w:w="608"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2427" w:type="pct"/>
            <w:gridSpan w:val="1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hint="eastAsia" w:ascii="宋体" w:hAnsi="宋体" w:cs="宋体"/>
                <w:kern w:val="0"/>
                <w:sz w:val="18"/>
                <w:szCs w:val="18"/>
              </w:rPr>
              <w:t>栏次</w:t>
            </w:r>
          </w:p>
        </w:tc>
        <w:tc>
          <w:tcPr>
            <w:tcW w:w="446"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1</w:t>
            </w:r>
          </w:p>
        </w:tc>
        <w:tc>
          <w:tcPr>
            <w:tcW w:w="311" w:type="pct"/>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2</w:t>
            </w:r>
          </w:p>
        </w:tc>
        <w:tc>
          <w:tcPr>
            <w:tcW w:w="340"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3</w:t>
            </w:r>
          </w:p>
        </w:tc>
        <w:tc>
          <w:tcPr>
            <w:tcW w:w="464"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4</w:t>
            </w:r>
          </w:p>
        </w:tc>
        <w:tc>
          <w:tcPr>
            <w:tcW w:w="404" w:type="pct"/>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5</w:t>
            </w:r>
          </w:p>
        </w:tc>
        <w:tc>
          <w:tcPr>
            <w:tcW w:w="608" w:type="pct"/>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6</w:t>
            </w:r>
          </w:p>
        </w:tc>
      </w:tr>
      <w:tr>
        <w:tblPrEx>
          <w:tblCellMar>
            <w:top w:w="0" w:type="dxa"/>
            <w:left w:w="108" w:type="dxa"/>
            <w:bottom w:w="0" w:type="dxa"/>
            <w:right w:w="108" w:type="dxa"/>
          </w:tblCellMar>
        </w:tblPrEx>
        <w:trPr>
          <w:trHeight w:val="255" w:hRule="exact"/>
        </w:trPr>
        <w:tc>
          <w:tcPr>
            <w:tcW w:w="2427" w:type="pct"/>
            <w:gridSpan w:val="1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hint="eastAsia" w:ascii="宋体" w:hAnsi="宋体" w:cs="宋体"/>
                <w:kern w:val="0"/>
                <w:sz w:val="24"/>
                <w:szCs w:val="24"/>
              </w:rPr>
              <w:t>合计</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b/>
                <w:kern w:val="0"/>
                <w:sz w:val="18"/>
                <w:szCs w:val="18"/>
              </w:rPr>
            </w:pPr>
            <w:r>
              <w:rPr>
                <w:rFonts w:ascii="宋体" w:hAnsi="宋体" w:cs="宋体"/>
                <w:b/>
                <w:kern w:val="0"/>
                <w:sz w:val="18"/>
                <w:szCs w:val="18"/>
              </w:rPr>
              <w:t>4,539.58</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b/>
                <w:kern w:val="0"/>
                <w:sz w:val="18"/>
                <w:szCs w:val="18"/>
              </w:rPr>
            </w:pPr>
            <w:r>
              <w:rPr>
                <w:rFonts w:ascii="宋体" w:hAnsi="宋体" w:cs="宋体"/>
                <w:b/>
                <w:kern w:val="0"/>
                <w:sz w:val="18"/>
                <w:szCs w:val="18"/>
              </w:rPr>
              <w:t>2,673.19</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b/>
                <w:kern w:val="0"/>
                <w:sz w:val="18"/>
                <w:szCs w:val="18"/>
              </w:rPr>
            </w:pPr>
            <w:r>
              <w:rPr>
                <w:rFonts w:ascii="宋体" w:hAnsi="宋体" w:cs="宋体"/>
                <w:b/>
                <w:kern w:val="0"/>
                <w:sz w:val="18"/>
                <w:szCs w:val="18"/>
              </w:rPr>
              <w:t>1,866.39</w:t>
            </w: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201</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hint="eastAsia" w:cs="Arial"/>
                <w:color w:val="000000"/>
                <w:sz w:val="18"/>
                <w:szCs w:val="18"/>
              </w:rPr>
              <w:t>一般公共服务支出</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168.18</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168.18</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20107</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hint="eastAsia" w:cs="Arial"/>
                <w:color w:val="000000"/>
                <w:sz w:val="18"/>
                <w:szCs w:val="18"/>
              </w:rPr>
              <w:t>税收事务</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167.18</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167.18</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2010799</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其他税收事务支出</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167.18</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167.18</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20132</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hint="eastAsia" w:cs="Arial"/>
                <w:color w:val="000000"/>
                <w:sz w:val="18"/>
                <w:szCs w:val="18"/>
              </w:rPr>
              <w:t>组织事务</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1.00</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1.00</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2013299</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其他组织事务支出</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1.00</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1.00</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208</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hint="eastAsia" w:cs="Arial"/>
                <w:color w:val="000000"/>
                <w:sz w:val="18"/>
                <w:szCs w:val="18"/>
              </w:rPr>
              <w:t>社会保障和就业支出</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15.78</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15.78</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20808</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hint="eastAsia" w:cs="Arial"/>
                <w:color w:val="000000"/>
                <w:sz w:val="18"/>
                <w:szCs w:val="18"/>
              </w:rPr>
              <w:t>抚恤</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15.78</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15.78</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2080801</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死亡抚恤</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15.78</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15.78</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212</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hint="eastAsia" w:cs="Arial"/>
                <w:color w:val="000000"/>
                <w:sz w:val="18"/>
                <w:szCs w:val="18"/>
              </w:rPr>
              <w:t>城乡社区支出</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1,022.67</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1,022.67</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21208</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hint="eastAsia" w:cs="Arial"/>
                <w:color w:val="000000"/>
                <w:sz w:val="18"/>
                <w:szCs w:val="18"/>
              </w:rPr>
              <w:t>国有土地使用权出让收入安排的支出</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1,022.67</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1,022.67</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2120806</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土地出让业务支出</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1,022.67</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1,022.67</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213</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hint="eastAsia" w:cs="Arial"/>
                <w:color w:val="000000"/>
                <w:sz w:val="18"/>
                <w:szCs w:val="18"/>
              </w:rPr>
              <w:t>农林水支出</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183.96</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7.24</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176.72</w:t>
            </w: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21301</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hint="eastAsia" w:cs="Arial"/>
                <w:color w:val="000000"/>
                <w:sz w:val="18"/>
                <w:szCs w:val="18"/>
              </w:rPr>
              <w:t>农业农村</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28.50</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7.24</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21.26</w:t>
            </w: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2130199</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其他农业农村支出</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28.50</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7.24</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21.26</w:t>
            </w: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21307</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hint="eastAsia" w:cs="Arial"/>
                <w:color w:val="000000"/>
                <w:sz w:val="18"/>
                <w:szCs w:val="18"/>
              </w:rPr>
              <w:t>农村综合改革</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155.46</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155.46</w:t>
            </w: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2130705</w:t>
            </w:r>
          </w:p>
        </w:tc>
        <w:tc>
          <w:tcPr>
            <w:tcW w:w="1757" w:type="pct"/>
            <w:gridSpan w:val="9"/>
            <w:tcBorders>
              <w:top w:val="nil"/>
              <w:left w:val="nil"/>
              <w:bottom w:val="single" w:color="auto" w:sz="4" w:space="0"/>
              <w:right w:val="single" w:color="auto" w:sz="4" w:space="0"/>
            </w:tcBorders>
            <w:shd w:val="clear" w:color="000000" w:fill="FFFFFF"/>
            <w:noWrap/>
            <w:vAlign w:val="center"/>
          </w:tcPr>
          <w:p>
            <w:pPr>
              <w:ind w:firstLine="180" w:firstLineChars="100"/>
              <w:rPr>
                <w:rFonts w:ascii="宋体" w:cs="Arial"/>
                <w:color w:val="000000"/>
                <w:sz w:val="18"/>
                <w:szCs w:val="18"/>
              </w:rPr>
            </w:pPr>
            <w:r>
              <w:rPr>
                <w:rFonts w:hint="eastAsia" w:cs="Arial"/>
                <w:color w:val="000000"/>
                <w:sz w:val="18"/>
                <w:szCs w:val="18"/>
              </w:rPr>
              <w:t>对村民委员会和村党支部的补助</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155.46</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155.46</w:t>
            </w: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220</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hint="eastAsia" w:cs="Arial"/>
                <w:color w:val="000000"/>
                <w:sz w:val="18"/>
                <w:szCs w:val="18"/>
              </w:rPr>
              <w:t>自然资源海洋气象等支出</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3,022.99</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1,365.32</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1,657.67</w:t>
            </w: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22001</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hint="eastAsia" w:cs="Arial"/>
                <w:color w:val="000000"/>
                <w:sz w:val="18"/>
                <w:szCs w:val="18"/>
              </w:rPr>
              <w:t>自然资源事务</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3,022.99</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1,365.32</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1,657.67</w:t>
            </w: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2200101</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行政运行</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1,365.32</w:t>
            </w:r>
          </w:p>
        </w:tc>
        <w:tc>
          <w:tcPr>
            <w:tcW w:w="311" w:type="pct"/>
            <w:gridSpan w:val="3"/>
            <w:tcBorders>
              <w:top w:val="nil"/>
              <w:left w:val="nil"/>
              <w:bottom w:val="single" w:color="auto" w:sz="4" w:space="0"/>
              <w:right w:val="single" w:color="auto" w:sz="4" w:space="0"/>
            </w:tcBorders>
            <w:noWrap/>
            <w:vAlign w:val="center"/>
          </w:tcPr>
          <w:p>
            <w:pPr>
              <w:jc w:val="right"/>
              <w:rPr>
                <w:rFonts w:ascii="宋体" w:cs="宋体"/>
                <w:kern w:val="0"/>
                <w:sz w:val="18"/>
                <w:szCs w:val="18"/>
              </w:rPr>
            </w:pPr>
            <w:r>
              <w:rPr>
                <w:rFonts w:ascii="宋体" w:hAnsi="宋体" w:cs="宋体"/>
                <w:kern w:val="0"/>
                <w:sz w:val="18"/>
                <w:szCs w:val="18"/>
              </w:rPr>
              <w:t>1,365.32</w:t>
            </w:r>
          </w:p>
        </w:tc>
        <w:tc>
          <w:tcPr>
            <w:tcW w:w="340" w:type="pct"/>
            <w:gridSpan w:val="2"/>
            <w:tcBorders>
              <w:top w:val="nil"/>
              <w:left w:val="nil"/>
              <w:bottom w:val="single" w:color="auto" w:sz="4" w:space="0"/>
              <w:right w:val="single" w:color="auto" w:sz="4" w:space="0"/>
            </w:tcBorders>
            <w:noWrap/>
            <w:vAlign w:val="center"/>
          </w:tcPr>
          <w:p>
            <w:pPr>
              <w:jc w:val="right"/>
              <w:rPr>
                <w:rFonts w:ascii="宋体" w:cs="宋体"/>
                <w:kern w:val="0"/>
                <w:sz w:val="18"/>
                <w:szCs w:val="18"/>
              </w:rPr>
            </w:pP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2200102</w:t>
            </w:r>
          </w:p>
        </w:tc>
        <w:tc>
          <w:tcPr>
            <w:tcW w:w="1757" w:type="pct"/>
            <w:gridSpan w:val="9"/>
            <w:tcBorders>
              <w:top w:val="single" w:color="auto" w:sz="4" w:space="0"/>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一般行政管理事务</w:t>
            </w:r>
          </w:p>
        </w:tc>
        <w:tc>
          <w:tcPr>
            <w:tcW w:w="446" w:type="pct"/>
            <w:gridSpan w:val="2"/>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882.12</w:t>
            </w:r>
          </w:p>
        </w:tc>
        <w:tc>
          <w:tcPr>
            <w:tcW w:w="311" w:type="pct"/>
            <w:gridSpan w:val="3"/>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340" w:type="pct"/>
            <w:gridSpan w:val="2"/>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882.12</w:t>
            </w:r>
          </w:p>
        </w:tc>
        <w:tc>
          <w:tcPr>
            <w:tcW w:w="464" w:type="pct"/>
            <w:gridSpan w:val="2"/>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2200109</w:t>
            </w:r>
          </w:p>
        </w:tc>
        <w:tc>
          <w:tcPr>
            <w:tcW w:w="1757" w:type="pct"/>
            <w:gridSpan w:val="9"/>
            <w:tcBorders>
              <w:top w:val="single" w:color="auto" w:sz="4" w:space="0"/>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自然资源调查与确权登记</w:t>
            </w:r>
          </w:p>
        </w:tc>
        <w:tc>
          <w:tcPr>
            <w:tcW w:w="446" w:type="pct"/>
            <w:gridSpan w:val="2"/>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205.55</w:t>
            </w:r>
          </w:p>
        </w:tc>
        <w:tc>
          <w:tcPr>
            <w:tcW w:w="311" w:type="pct"/>
            <w:gridSpan w:val="3"/>
            <w:tcBorders>
              <w:top w:val="single" w:color="auto" w:sz="4" w:space="0"/>
              <w:left w:val="nil"/>
              <w:bottom w:val="single" w:color="auto" w:sz="4" w:space="0"/>
              <w:right w:val="single" w:color="auto" w:sz="4" w:space="0"/>
            </w:tcBorders>
            <w:noWrap/>
            <w:vAlign w:val="center"/>
          </w:tcPr>
          <w:p>
            <w:pPr>
              <w:jc w:val="right"/>
              <w:rPr>
                <w:rFonts w:ascii="宋体" w:cs="Arial"/>
                <w:color w:val="000000"/>
                <w:sz w:val="18"/>
                <w:szCs w:val="18"/>
              </w:rPr>
            </w:pPr>
          </w:p>
        </w:tc>
        <w:tc>
          <w:tcPr>
            <w:tcW w:w="340" w:type="pct"/>
            <w:gridSpan w:val="2"/>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205.55</w:t>
            </w:r>
          </w:p>
        </w:tc>
        <w:tc>
          <w:tcPr>
            <w:tcW w:w="464" w:type="pct"/>
            <w:gridSpan w:val="2"/>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2200199</w:t>
            </w:r>
          </w:p>
        </w:tc>
        <w:tc>
          <w:tcPr>
            <w:tcW w:w="1757" w:type="pct"/>
            <w:gridSpan w:val="9"/>
            <w:tcBorders>
              <w:top w:val="single" w:color="auto" w:sz="4" w:space="0"/>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其他自然资源事务支出</w:t>
            </w:r>
          </w:p>
        </w:tc>
        <w:tc>
          <w:tcPr>
            <w:tcW w:w="446" w:type="pct"/>
            <w:gridSpan w:val="2"/>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570.00</w:t>
            </w:r>
          </w:p>
        </w:tc>
        <w:tc>
          <w:tcPr>
            <w:tcW w:w="311" w:type="pct"/>
            <w:gridSpan w:val="3"/>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340" w:type="pct"/>
            <w:gridSpan w:val="2"/>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570.00</w:t>
            </w:r>
          </w:p>
        </w:tc>
        <w:tc>
          <w:tcPr>
            <w:tcW w:w="464" w:type="pct"/>
            <w:gridSpan w:val="2"/>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221</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hint="eastAsia" w:cs="Arial"/>
                <w:color w:val="000000"/>
                <w:sz w:val="18"/>
                <w:szCs w:val="18"/>
              </w:rPr>
              <w:t>住房保障支出</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93.99</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93.99</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22102</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hint="eastAsia" w:cs="Arial"/>
                <w:color w:val="000000"/>
                <w:sz w:val="18"/>
                <w:szCs w:val="18"/>
              </w:rPr>
              <w:t>住房改革支出</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93.99</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93.99</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2210201</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住房公积金</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93.99</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93.99</w:t>
            </w: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224</w:t>
            </w:r>
          </w:p>
        </w:tc>
        <w:tc>
          <w:tcPr>
            <w:tcW w:w="1757" w:type="pct"/>
            <w:gridSpan w:val="9"/>
            <w:tcBorders>
              <w:top w:val="nil"/>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hint="eastAsia" w:cs="Arial"/>
                <w:color w:val="000000"/>
                <w:sz w:val="18"/>
                <w:szCs w:val="18"/>
              </w:rPr>
              <w:t>灾害防治及应急管理支出</w:t>
            </w:r>
          </w:p>
        </w:tc>
        <w:tc>
          <w:tcPr>
            <w:tcW w:w="446"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32.00</w:t>
            </w:r>
          </w:p>
        </w:tc>
        <w:tc>
          <w:tcPr>
            <w:tcW w:w="311"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34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32.00</w:t>
            </w:r>
          </w:p>
        </w:tc>
        <w:tc>
          <w:tcPr>
            <w:tcW w:w="464"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22406</w:t>
            </w:r>
          </w:p>
        </w:tc>
        <w:tc>
          <w:tcPr>
            <w:tcW w:w="1757" w:type="pct"/>
            <w:gridSpan w:val="9"/>
            <w:tcBorders>
              <w:top w:val="single" w:color="auto" w:sz="4" w:space="0"/>
              <w:left w:val="nil"/>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hint="eastAsia" w:cs="Arial"/>
                <w:color w:val="000000"/>
                <w:sz w:val="18"/>
                <w:szCs w:val="18"/>
              </w:rPr>
              <w:t>自然灾害防治</w:t>
            </w:r>
          </w:p>
        </w:tc>
        <w:tc>
          <w:tcPr>
            <w:tcW w:w="446" w:type="pct"/>
            <w:gridSpan w:val="2"/>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32.00</w:t>
            </w:r>
          </w:p>
        </w:tc>
        <w:tc>
          <w:tcPr>
            <w:tcW w:w="311" w:type="pct"/>
            <w:gridSpan w:val="3"/>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340" w:type="pct"/>
            <w:gridSpan w:val="2"/>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32.00</w:t>
            </w:r>
          </w:p>
        </w:tc>
        <w:tc>
          <w:tcPr>
            <w:tcW w:w="464" w:type="pct"/>
            <w:gridSpan w:val="2"/>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67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2240601</w:t>
            </w:r>
          </w:p>
        </w:tc>
        <w:tc>
          <w:tcPr>
            <w:tcW w:w="1757" w:type="pct"/>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地质灾害防治</w:t>
            </w:r>
          </w:p>
        </w:tc>
        <w:tc>
          <w:tcPr>
            <w:tcW w:w="446" w:type="pct"/>
            <w:gridSpan w:val="2"/>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32.00</w:t>
            </w:r>
          </w:p>
        </w:tc>
        <w:tc>
          <w:tcPr>
            <w:tcW w:w="311" w:type="pct"/>
            <w:gridSpan w:val="3"/>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340" w:type="pct"/>
            <w:gridSpan w:val="2"/>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32.00</w:t>
            </w:r>
          </w:p>
        </w:tc>
        <w:tc>
          <w:tcPr>
            <w:tcW w:w="464" w:type="pct"/>
            <w:gridSpan w:val="2"/>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404" w:type="pct"/>
            <w:gridSpan w:val="3"/>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608" w:type="pct"/>
            <w:gridSpan w:val="3"/>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trHeight w:val="255" w:hRule="exact"/>
        </w:trPr>
        <w:tc>
          <w:tcPr>
            <w:tcW w:w="2427" w:type="pct"/>
            <w:gridSpan w:val="14"/>
            <w:tcBorders>
              <w:top w:val="single" w:color="auto" w:sz="4" w:space="0"/>
            </w:tcBorders>
            <w:shd w:val="clear" w:color="000000" w:fill="FFFFFF"/>
            <w:noWrap/>
            <w:vAlign w:val="center"/>
          </w:tcPr>
          <w:p>
            <w:pPr>
              <w:rPr>
                <w:rFonts w:cs="Arial"/>
                <w:color w:val="000000"/>
                <w:sz w:val="18"/>
                <w:szCs w:val="18"/>
              </w:rPr>
            </w:pPr>
            <w:r>
              <w:rPr>
                <w:rFonts w:hint="eastAsia" w:cs="Arial"/>
                <w:color w:val="000000"/>
                <w:sz w:val="18"/>
                <w:szCs w:val="18"/>
              </w:rPr>
              <w:t>注：本表反映部门本年度各项支出情况。</w:t>
            </w:r>
          </w:p>
          <w:p>
            <w:pPr>
              <w:rPr>
                <w:rFonts w:cs="Arial"/>
                <w:color w:val="000000"/>
                <w:sz w:val="18"/>
                <w:szCs w:val="18"/>
              </w:rPr>
            </w:pPr>
          </w:p>
          <w:p>
            <w:pPr>
              <w:rPr>
                <w:rFonts w:cs="Arial"/>
                <w:color w:val="000000"/>
                <w:sz w:val="18"/>
                <w:szCs w:val="18"/>
              </w:rPr>
            </w:pPr>
          </w:p>
          <w:p>
            <w:pPr>
              <w:rPr>
                <w:rFonts w:cs="Arial"/>
                <w:color w:val="000000"/>
                <w:sz w:val="18"/>
                <w:szCs w:val="18"/>
              </w:rPr>
            </w:pPr>
          </w:p>
        </w:tc>
        <w:tc>
          <w:tcPr>
            <w:tcW w:w="446" w:type="pct"/>
            <w:gridSpan w:val="2"/>
            <w:tcBorders>
              <w:top w:val="single" w:color="auto" w:sz="4" w:space="0"/>
            </w:tcBorders>
            <w:noWrap/>
            <w:vAlign w:val="center"/>
          </w:tcPr>
          <w:p>
            <w:pPr>
              <w:widowControl/>
              <w:jc w:val="right"/>
              <w:rPr>
                <w:rFonts w:ascii="宋体" w:cs="宋体"/>
                <w:kern w:val="0"/>
                <w:sz w:val="18"/>
                <w:szCs w:val="18"/>
              </w:rPr>
            </w:pPr>
          </w:p>
        </w:tc>
        <w:tc>
          <w:tcPr>
            <w:tcW w:w="311" w:type="pct"/>
            <w:gridSpan w:val="3"/>
            <w:tcBorders>
              <w:top w:val="single" w:color="auto" w:sz="4" w:space="0"/>
            </w:tcBorders>
            <w:noWrap/>
            <w:vAlign w:val="center"/>
          </w:tcPr>
          <w:p>
            <w:pPr>
              <w:widowControl/>
              <w:jc w:val="right"/>
              <w:rPr>
                <w:rFonts w:ascii="宋体" w:cs="宋体"/>
                <w:kern w:val="0"/>
                <w:sz w:val="18"/>
                <w:szCs w:val="18"/>
              </w:rPr>
            </w:pPr>
          </w:p>
        </w:tc>
        <w:tc>
          <w:tcPr>
            <w:tcW w:w="340" w:type="pct"/>
            <w:gridSpan w:val="2"/>
            <w:tcBorders>
              <w:top w:val="single" w:color="auto" w:sz="4" w:space="0"/>
            </w:tcBorders>
            <w:noWrap/>
            <w:vAlign w:val="center"/>
          </w:tcPr>
          <w:p>
            <w:pPr>
              <w:widowControl/>
              <w:jc w:val="right"/>
              <w:rPr>
                <w:rFonts w:ascii="宋体" w:cs="宋体"/>
                <w:kern w:val="0"/>
                <w:sz w:val="18"/>
                <w:szCs w:val="18"/>
              </w:rPr>
            </w:pPr>
          </w:p>
        </w:tc>
        <w:tc>
          <w:tcPr>
            <w:tcW w:w="464" w:type="pct"/>
            <w:gridSpan w:val="2"/>
            <w:tcBorders>
              <w:top w:val="single" w:color="auto" w:sz="4" w:space="0"/>
            </w:tcBorders>
            <w:noWrap/>
            <w:vAlign w:val="center"/>
          </w:tcPr>
          <w:p>
            <w:pPr>
              <w:widowControl/>
              <w:jc w:val="right"/>
              <w:rPr>
                <w:rFonts w:ascii="宋体" w:cs="宋体"/>
                <w:kern w:val="0"/>
                <w:sz w:val="18"/>
                <w:szCs w:val="18"/>
              </w:rPr>
            </w:pPr>
          </w:p>
        </w:tc>
        <w:tc>
          <w:tcPr>
            <w:tcW w:w="404" w:type="pct"/>
            <w:gridSpan w:val="3"/>
            <w:tcBorders>
              <w:top w:val="single" w:color="auto" w:sz="4" w:space="0"/>
            </w:tcBorders>
            <w:noWrap/>
            <w:vAlign w:val="center"/>
          </w:tcPr>
          <w:p>
            <w:pPr>
              <w:widowControl/>
              <w:jc w:val="right"/>
              <w:rPr>
                <w:rFonts w:ascii="宋体" w:cs="宋体"/>
                <w:kern w:val="0"/>
                <w:sz w:val="18"/>
                <w:szCs w:val="18"/>
              </w:rPr>
            </w:pPr>
          </w:p>
        </w:tc>
        <w:tc>
          <w:tcPr>
            <w:tcW w:w="608" w:type="pct"/>
            <w:gridSpan w:val="3"/>
            <w:tcBorders>
              <w:top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wBefore w:w="30" w:type="pct"/>
          <w:trHeight w:val="360" w:hRule="atLeast"/>
        </w:trPr>
        <w:tc>
          <w:tcPr>
            <w:tcW w:w="4970" w:type="pct"/>
            <w:gridSpan w:val="28"/>
            <w:tcBorders>
              <w:top w:val="nil"/>
              <w:left w:val="nil"/>
              <w:bottom w:val="nil"/>
              <w:right w:val="nil"/>
            </w:tcBorders>
            <w:noWrap/>
            <w:vAlign w:val="center"/>
          </w:tcPr>
          <w:p>
            <w:pPr>
              <w:widowControl/>
              <w:jc w:val="center"/>
              <w:rPr>
                <w:rFonts w:ascii="宋体" w:cs="宋体"/>
                <w:b/>
                <w:color w:val="000000"/>
                <w:kern w:val="0"/>
                <w:sz w:val="32"/>
                <w:szCs w:val="32"/>
              </w:rPr>
            </w:pPr>
            <w:bookmarkStart w:id="0" w:name="RANGE!A1:F16"/>
            <w:bookmarkEnd w:id="0"/>
          </w:p>
          <w:p>
            <w:pPr>
              <w:widowControl/>
              <w:jc w:val="center"/>
              <w:rPr>
                <w:rFonts w:ascii="华文中宋" w:hAnsi="华文中宋" w:eastAsia="华文中宋" w:cs="宋体"/>
                <w:b/>
                <w:color w:val="000000"/>
                <w:kern w:val="0"/>
                <w:sz w:val="32"/>
                <w:szCs w:val="32"/>
              </w:rPr>
            </w:pPr>
            <w:r>
              <w:rPr>
                <w:rFonts w:hint="eastAsia" w:ascii="宋体" w:hAnsi="宋体" w:cs="宋体"/>
                <w:b/>
                <w:color w:val="000000"/>
                <w:kern w:val="0"/>
                <w:sz w:val="32"/>
                <w:szCs w:val="32"/>
              </w:rPr>
              <w:t>财政拨款收入支出决算总表</w:t>
            </w:r>
          </w:p>
        </w:tc>
      </w:tr>
      <w:tr>
        <w:tblPrEx>
          <w:tblCellMar>
            <w:top w:w="0" w:type="dxa"/>
            <w:left w:w="108" w:type="dxa"/>
            <w:bottom w:w="0" w:type="dxa"/>
            <w:right w:w="108" w:type="dxa"/>
          </w:tblCellMar>
        </w:tblPrEx>
        <w:trPr>
          <w:gridBefore w:val="1"/>
          <w:wBefore w:w="30" w:type="pct"/>
          <w:trHeight w:val="199" w:hRule="atLeast"/>
        </w:trPr>
        <w:tc>
          <w:tcPr>
            <w:tcW w:w="1176" w:type="pct"/>
            <w:gridSpan w:val="7"/>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78" w:type="pct"/>
            <w:gridSpan w:val="2"/>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343" w:type="pct"/>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307" w:type="pct"/>
            <w:gridSpan w:val="6"/>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29" w:type="pct"/>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488" w:type="pct"/>
            <w:gridSpan w:val="4"/>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424" w:type="pct"/>
            <w:gridSpan w:val="3"/>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435" w:type="pct"/>
            <w:gridSpan w:val="2"/>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490" w:type="pct"/>
            <w:gridSpan w:val="2"/>
            <w:tcBorders>
              <w:top w:val="nil"/>
              <w:left w:val="nil"/>
              <w:bottom w:val="nil"/>
              <w:right w:val="nil"/>
            </w:tcBorders>
            <w:shd w:val="clear" w:color="000000" w:fill="FFFFFF"/>
            <w:noWrap/>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04</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gridBefore w:val="1"/>
          <w:wBefore w:w="30" w:type="pct"/>
          <w:trHeight w:val="300" w:hRule="atLeast"/>
        </w:trPr>
        <w:tc>
          <w:tcPr>
            <w:tcW w:w="1176" w:type="pct"/>
            <w:gridSpan w:val="7"/>
            <w:tcBorders>
              <w:top w:val="nil"/>
              <w:left w:val="nil"/>
              <w:bottom w:val="nil"/>
              <w:right w:val="nil"/>
            </w:tcBorders>
            <w:shd w:val="clear" w:color="000000" w:fill="FFFFF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部门：沅江市国土资源局</w:t>
            </w:r>
          </w:p>
        </w:tc>
        <w:tc>
          <w:tcPr>
            <w:tcW w:w="178" w:type="pct"/>
            <w:gridSpan w:val="2"/>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343" w:type="pct"/>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307" w:type="pct"/>
            <w:gridSpan w:val="6"/>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29" w:type="pct"/>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488" w:type="pct"/>
            <w:gridSpan w:val="4"/>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424" w:type="pct"/>
            <w:gridSpan w:val="3"/>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435" w:type="pct"/>
            <w:gridSpan w:val="2"/>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490" w:type="pct"/>
            <w:gridSpan w:val="2"/>
            <w:tcBorders>
              <w:top w:val="nil"/>
              <w:left w:val="nil"/>
              <w:bottom w:val="nil"/>
              <w:right w:val="nil"/>
            </w:tcBorders>
            <w:shd w:val="clear" w:color="000000" w:fill="FFFFFF"/>
            <w:noWrap/>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gridBefore w:val="1"/>
          <w:wBefore w:w="30" w:type="pct"/>
          <w:trHeight w:val="402" w:hRule="atLeast"/>
        </w:trPr>
        <w:tc>
          <w:tcPr>
            <w:tcW w:w="1697" w:type="pct"/>
            <w:gridSpan w:val="10"/>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kern w:val="0"/>
                <w:szCs w:val="21"/>
              </w:rPr>
            </w:pPr>
            <w:r>
              <w:rPr>
                <w:rFonts w:hint="eastAsia" w:ascii="宋体" w:hAnsi="宋体" w:cs="宋体"/>
                <w:kern w:val="0"/>
                <w:szCs w:val="21"/>
              </w:rPr>
              <w:t>收入</w:t>
            </w:r>
          </w:p>
        </w:tc>
        <w:tc>
          <w:tcPr>
            <w:tcW w:w="3273" w:type="pct"/>
            <w:gridSpan w:val="1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cs="宋体"/>
                <w:kern w:val="0"/>
                <w:szCs w:val="21"/>
              </w:rPr>
            </w:pPr>
            <w:r>
              <w:rPr>
                <w:rFonts w:hint="eastAsia" w:ascii="宋体" w:hAnsi="宋体" w:cs="宋体"/>
                <w:kern w:val="0"/>
                <w:szCs w:val="21"/>
              </w:rPr>
              <w:t>支出</w:t>
            </w:r>
          </w:p>
        </w:tc>
      </w:tr>
      <w:tr>
        <w:tblPrEx>
          <w:tblCellMar>
            <w:top w:w="0" w:type="dxa"/>
            <w:left w:w="108" w:type="dxa"/>
            <w:bottom w:w="0" w:type="dxa"/>
            <w:right w:w="108" w:type="dxa"/>
          </w:tblCellMar>
        </w:tblPrEx>
        <w:trPr>
          <w:gridBefore w:val="1"/>
          <w:wBefore w:w="30" w:type="pct"/>
          <w:trHeight w:val="729"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18"/>
                <w:szCs w:val="18"/>
              </w:rPr>
            </w:pPr>
            <w:r>
              <w:rPr>
                <w:rFonts w:hint="eastAsia" w:ascii="宋体" w:hAnsi="宋体" w:cs="宋体"/>
                <w:kern w:val="0"/>
                <w:sz w:val="18"/>
                <w:szCs w:val="18"/>
              </w:rPr>
              <w:t>项</w:t>
            </w:r>
            <w:r>
              <w:rPr>
                <w:rFonts w:ascii="宋体" w:hAnsi="宋体" w:cs="宋体"/>
                <w:kern w:val="0"/>
                <w:sz w:val="18"/>
                <w:szCs w:val="18"/>
              </w:rPr>
              <w:t xml:space="preserve">    </w:t>
            </w:r>
            <w:r>
              <w:rPr>
                <w:rFonts w:hint="eastAsia" w:ascii="宋体" w:hAnsi="宋体" w:cs="宋体"/>
                <w:kern w:val="0"/>
                <w:sz w:val="18"/>
                <w:szCs w:val="18"/>
              </w:rPr>
              <w:t>目</w:t>
            </w: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hint="eastAsia" w:ascii="宋体" w:hAnsi="宋体" w:cs="宋体"/>
                <w:kern w:val="0"/>
                <w:sz w:val="18"/>
                <w:szCs w:val="18"/>
              </w:rPr>
              <w:t>行次</w:t>
            </w:r>
          </w:p>
        </w:tc>
        <w:tc>
          <w:tcPr>
            <w:tcW w:w="400"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hint="eastAsia" w:ascii="宋体" w:hAnsi="宋体" w:cs="宋体"/>
                <w:kern w:val="0"/>
                <w:sz w:val="18"/>
                <w:szCs w:val="18"/>
              </w:rPr>
              <w:t>金额</w:t>
            </w:r>
          </w:p>
        </w:tc>
        <w:tc>
          <w:tcPr>
            <w:tcW w:w="1125" w:type="pct"/>
            <w:gridSpan w:val="4"/>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hint="eastAsia" w:ascii="宋体" w:hAnsi="宋体" w:cs="宋体"/>
                <w:kern w:val="0"/>
                <w:sz w:val="18"/>
                <w:szCs w:val="18"/>
              </w:rPr>
              <w:t>项</w:t>
            </w:r>
            <w:r>
              <w:rPr>
                <w:rFonts w:ascii="宋体" w:hAnsi="宋体" w:cs="宋体"/>
                <w:kern w:val="0"/>
                <w:sz w:val="18"/>
                <w:szCs w:val="18"/>
              </w:rPr>
              <w:t xml:space="preserve">    </w:t>
            </w:r>
            <w:r>
              <w:rPr>
                <w:rFonts w:hint="eastAsia" w:ascii="宋体" w:hAnsi="宋体" w:cs="宋体"/>
                <w:kern w:val="0"/>
                <w:sz w:val="18"/>
                <w:szCs w:val="18"/>
              </w:rPr>
              <w:t>目</w:t>
            </w:r>
          </w:p>
        </w:tc>
        <w:tc>
          <w:tcPr>
            <w:tcW w:w="311" w:type="pct"/>
            <w:gridSpan w:val="3"/>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hint="eastAsia" w:ascii="宋体" w:hAnsi="宋体" w:cs="宋体"/>
                <w:kern w:val="0"/>
                <w:sz w:val="18"/>
                <w:szCs w:val="18"/>
              </w:rPr>
              <w:t>行次</w:t>
            </w:r>
          </w:p>
        </w:tc>
        <w:tc>
          <w:tcPr>
            <w:tcW w:w="488" w:type="pct"/>
            <w:gridSpan w:val="4"/>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hint="eastAsia" w:ascii="宋体" w:hAnsi="宋体" w:cs="宋体"/>
                <w:kern w:val="0"/>
                <w:sz w:val="18"/>
                <w:szCs w:val="18"/>
              </w:rPr>
              <w:t>合计</w:t>
            </w:r>
          </w:p>
        </w:tc>
        <w:tc>
          <w:tcPr>
            <w:tcW w:w="424" w:type="pct"/>
            <w:gridSpan w:val="3"/>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一般公共预算财政拨款</w:t>
            </w:r>
          </w:p>
        </w:tc>
        <w:tc>
          <w:tcPr>
            <w:tcW w:w="435" w:type="pct"/>
            <w:gridSpan w:val="2"/>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政府性基金预算财政拨款</w:t>
            </w:r>
          </w:p>
        </w:tc>
        <w:tc>
          <w:tcPr>
            <w:tcW w:w="490" w:type="pct"/>
            <w:gridSpan w:val="2"/>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国有资本经营预算财政拨款</w:t>
            </w: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18"/>
                <w:szCs w:val="18"/>
              </w:rPr>
            </w:pPr>
            <w:r>
              <w:rPr>
                <w:rFonts w:hint="eastAsia" w:ascii="宋体" w:hAnsi="宋体" w:cs="宋体"/>
                <w:kern w:val="0"/>
                <w:sz w:val="18"/>
                <w:szCs w:val="18"/>
              </w:rPr>
              <w:t>栏</w:t>
            </w:r>
            <w:r>
              <w:rPr>
                <w:rFonts w:ascii="宋体" w:hAnsi="宋体" w:cs="宋体"/>
                <w:kern w:val="0"/>
                <w:sz w:val="18"/>
                <w:szCs w:val="18"/>
              </w:rPr>
              <w:t xml:space="preserve">    </w:t>
            </w:r>
            <w:r>
              <w:rPr>
                <w:rFonts w:hint="eastAsia" w:ascii="宋体" w:hAnsi="宋体" w:cs="宋体"/>
                <w:kern w:val="0"/>
                <w:sz w:val="18"/>
                <w:szCs w:val="18"/>
              </w:rPr>
              <w:t>次</w:t>
            </w: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hint="eastAsia" w:ascii="宋体" w:hAnsi="宋体" w:cs="宋体"/>
                <w:kern w:val="0"/>
                <w:sz w:val="18"/>
                <w:szCs w:val="18"/>
              </w:rPr>
              <w:t>　</w:t>
            </w:r>
          </w:p>
        </w:tc>
        <w:tc>
          <w:tcPr>
            <w:tcW w:w="400"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1</w:t>
            </w:r>
          </w:p>
        </w:tc>
        <w:tc>
          <w:tcPr>
            <w:tcW w:w="1125" w:type="pct"/>
            <w:gridSpan w:val="4"/>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hint="eastAsia" w:ascii="宋体" w:hAnsi="宋体" w:cs="宋体"/>
                <w:kern w:val="0"/>
                <w:sz w:val="18"/>
                <w:szCs w:val="18"/>
              </w:rPr>
              <w:t>栏</w:t>
            </w:r>
            <w:r>
              <w:rPr>
                <w:rFonts w:ascii="宋体" w:hAnsi="宋体" w:cs="宋体"/>
                <w:kern w:val="0"/>
                <w:sz w:val="18"/>
                <w:szCs w:val="18"/>
              </w:rPr>
              <w:t xml:space="preserve">    </w:t>
            </w:r>
            <w:r>
              <w:rPr>
                <w:rFonts w:hint="eastAsia" w:ascii="宋体" w:hAnsi="宋体" w:cs="宋体"/>
                <w:kern w:val="0"/>
                <w:sz w:val="18"/>
                <w:szCs w:val="18"/>
              </w:rPr>
              <w:t>次</w:t>
            </w:r>
          </w:p>
        </w:tc>
        <w:tc>
          <w:tcPr>
            <w:tcW w:w="311" w:type="pct"/>
            <w:gridSpan w:val="3"/>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hint="eastAsia" w:ascii="宋体" w:hAnsi="宋体" w:cs="宋体"/>
                <w:kern w:val="0"/>
                <w:sz w:val="18"/>
                <w:szCs w:val="18"/>
              </w:rPr>
              <w:t>　</w:t>
            </w:r>
          </w:p>
        </w:tc>
        <w:tc>
          <w:tcPr>
            <w:tcW w:w="488" w:type="pct"/>
            <w:gridSpan w:val="4"/>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2</w:t>
            </w:r>
          </w:p>
        </w:tc>
        <w:tc>
          <w:tcPr>
            <w:tcW w:w="424" w:type="pct"/>
            <w:gridSpan w:val="3"/>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3</w:t>
            </w:r>
          </w:p>
        </w:tc>
        <w:tc>
          <w:tcPr>
            <w:tcW w:w="435"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4</w:t>
            </w:r>
          </w:p>
        </w:tc>
        <w:tc>
          <w:tcPr>
            <w:tcW w:w="490"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5</w:t>
            </w: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一、一般公共预算财政拨款</w:t>
            </w: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1</w:t>
            </w:r>
          </w:p>
        </w:tc>
        <w:tc>
          <w:tcPr>
            <w:tcW w:w="40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2,679.05</w:t>
            </w:r>
          </w:p>
        </w:tc>
        <w:tc>
          <w:tcPr>
            <w:tcW w:w="1125" w:type="pct"/>
            <w:gridSpan w:val="4"/>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一、一般公共服务支出</w:t>
            </w:r>
          </w:p>
        </w:tc>
        <w:tc>
          <w:tcPr>
            <w:tcW w:w="311" w:type="pct"/>
            <w:gridSpan w:val="3"/>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33</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168.18</w:t>
            </w: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168.18</w:t>
            </w: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二、政府性基金预算财政拨款</w:t>
            </w: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2</w:t>
            </w:r>
          </w:p>
        </w:tc>
        <w:tc>
          <w:tcPr>
            <w:tcW w:w="40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1,022.67</w:t>
            </w:r>
          </w:p>
        </w:tc>
        <w:tc>
          <w:tcPr>
            <w:tcW w:w="1125" w:type="pct"/>
            <w:gridSpan w:val="4"/>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二、外交支出</w:t>
            </w:r>
          </w:p>
        </w:tc>
        <w:tc>
          <w:tcPr>
            <w:tcW w:w="311" w:type="pct"/>
            <w:gridSpan w:val="3"/>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34</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三、国有资本经营预算财政拨款</w:t>
            </w: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3</w:t>
            </w:r>
          </w:p>
        </w:tc>
        <w:tc>
          <w:tcPr>
            <w:tcW w:w="40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三、国防支出</w:t>
            </w:r>
          </w:p>
        </w:tc>
        <w:tc>
          <w:tcPr>
            <w:tcW w:w="311" w:type="pct"/>
            <w:gridSpan w:val="3"/>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35</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4</w:t>
            </w:r>
          </w:p>
        </w:tc>
        <w:tc>
          <w:tcPr>
            <w:tcW w:w="40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四、公共安全支出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36</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5</w:t>
            </w:r>
          </w:p>
        </w:tc>
        <w:tc>
          <w:tcPr>
            <w:tcW w:w="40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五、教育支出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37</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6</w:t>
            </w:r>
          </w:p>
        </w:tc>
        <w:tc>
          <w:tcPr>
            <w:tcW w:w="40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六、科学技术支出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38</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7</w:t>
            </w:r>
          </w:p>
        </w:tc>
        <w:tc>
          <w:tcPr>
            <w:tcW w:w="40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七、文化旅游体育与传媒支出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39</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8</w:t>
            </w:r>
          </w:p>
        </w:tc>
        <w:tc>
          <w:tcPr>
            <w:tcW w:w="400" w:type="pct"/>
            <w:gridSpan w:val="2"/>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八、社会保障和就业支出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40</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15.78</w:t>
            </w: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15.78</w:t>
            </w: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9</w:t>
            </w:r>
          </w:p>
        </w:tc>
        <w:tc>
          <w:tcPr>
            <w:tcW w:w="400" w:type="pct"/>
            <w:gridSpan w:val="2"/>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九、卫生健康支出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41</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10</w:t>
            </w:r>
          </w:p>
        </w:tc>
        <w:tc>
          <w:tcPr>
            <w:tcW w:w="400" w:type="pct"/>
            <w:gridSpan w:val="2"/>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十、节能环保支出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42</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11</w:t>
            </w:r>
          </w:p>
        </w:tc>
        <w:tc>
          <w:tcPr>
            <w:tcW w:w="400" w:type="pct"/>
            <w:gridSpan w:val="2"/>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十一、城乡社区支出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43</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1,022.67</w:t>
            </w: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1,022.67</w:t>
            </w: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12</w:t>
            </w:r>
          </w:p>
        </w:tc>
        <w:tc>
          <w:tcPr>
            <w:tcW w:w="400" w:type="pct"/>
            <w:gridSpan w:val="2"/>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十二、农林水支出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44</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183.96</w:t>
            </w: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183.96</w:t>
            </w: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13</w:t>
            </w:r>
          </w:p>
        </w:tc>
        <w:tc>
          <w:tcPr>
            <w:tcW w:w="400" w:type="pct"/>
            <w:gridSpan w:val="2"/>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十三、交通运输支出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45</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14</w:t>
            </w:r>
          </w:p>
        </w:tc>
        <w:tc>
          <w:tcPr>
            <w:tcW w:w="400" w:type="pct"/>
            <w:gridSpan w:val="2"/>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十四、资源勘探工业信息等支出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46</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15</w:t>
            </w:r>
          </w:p>
        </w:tc>
        <w:tc>
          <w:tcPr>
            <w:tcW w:w="400" w:type="pct"/>
            <w:gridSpan w:val="2"/>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十五、商业服务业等支出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47</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16</w:t>
            </w:r>
          </w:p>
        </w:tc>
        <w:tc>
          <w:tcPr>
            <w:tcW w:w="400" w:type="pct"/>
            <w:gridSpan w:val="2"/>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十六、金融支出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48</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17</w:t>
            </w:r>
          </w:p>
        </w:tc>
        <w:tc>
          <w:tcPr>
            <w:tcW w:w="400" w:type="pct"/>
            <w:gridSpan w:val="2"/>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十七、援助其他地区支出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49</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18</w:t>
            </w:r>
          </w:p>
        </w:tc>
        <w:tc>
          <w:tcPr>
            <w:tcW w:w="400" w:type="pct"/>
            <w:gridSpan w:val="2"/>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十八、自然资源海洋气象等支出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50</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2,328.85</w:t>
            </w: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2,328.85</w:t>
            </w: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204"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19</w:t>
            </w:r>
          </w:p>
        </w:tc>
        <w:tc>
          <w:tcPr>
            <w:tcW w:w="400"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1125" w:type="pct"/>
            <w:gridSpan w:val="4"/>
            <w:tcBorders>
              <w:top w:val="single" w:color="auto" w:sz="4" w:space="0"/>
              <w:left w:val="single" w:color="auto" w:sz="4" w:space="0"/>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十九、住房保障支出</w:t>
            </w:r>
          </w:p>
        </w:tc>
        <w:tc>
          <w:tcPr>
            <w:tcW w:w="311" w:type="pct"/>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51</w:t>
            </w:r>
          </w:p>
        </w:tc>
        <w:tc>
          <w:tcPr>
            <w:tcW w:w="488" w:type="pct"/>
            <w:gridSpan w:val="4"/>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93.99</w:t>
            </w:r>
          </w:p>
        </w:tc>
        <w:tc>
          <w:tcPr>
            <w:tcW w:w="424" w:type="pct"/>
            <w:gridSpan w:val="3"/>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93.99</w:t>
            </w:r>
          </w:p>
        </w:tc>
        <w:tc>
          <w:tcPr>
            <w:tcW w:w="435" w:type="pct"/>
            <w:gridSpan w:val="2"/>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204" w:type="pct"/>
            <w:gridSpan w:val="2"/>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20</w:t>
            </w:r>
          </w:p>
        </w:tc>
        <w:tc>
          <w:tcPr>
            <w:tcW w:w="400" w:type="pct"/>
            <w:gridSpan w:val="2"/>
            <w:tcBorders>
              <w:top w:val="single" w:color="auto" w:sz="4" w:space="0"/>
              <w:left w:val="nil"/>
              <w:bottom w:val="single" w:color="auto" w:sz="4" w:space="0"/>
              <w:right w:val="single" w:color="auto" w:sz="4" w:space="0"/>
            </w:tcBorders>
            <w:noWrap/>
            <w:vAlign w:val="center"/>
          </w:tcPr>
          <w:p>
            <w:pPr>
              <w:widowControl/>
              <w:jc w:val="left"/>
              <w:rPr>
                <w:rFonts w:ascii="宋体" w:cs="宋体"/>
                <w:kern w:val="0"/>
                <w:sz w:val="18"/>
                <w:szCs w:val="18"/>
              </w:rPr>
            </w:pPr>
          </w:p>
        </w:tc>
        <w:tc>
          <w:tcPr>
            <w:tcW w:w="1125" w:type="pct"/>
            <w:gridSpan w:val="4"/>
            <w:tcBorders>
              <w:top w:val="single" w:color="auto" w:sz="4" w:space="0"/>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二十、粮油物资储备支出</w:t>
            </w:r>
          </w:p>
        </w:tc>
        <w:tc>
          <w:tcPr>
            <w:tcW w:w="311" w:type="pct"/>
            <w:gridSpan w:val="3"/>
            <w:tcBorders>
              <w:top w:val="single" w:color="auto" w:sz="4" w:space="0"/>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52</w:t>
            </w:r>
          </w:p>
        </w:tc>
        <w:tc>
          <w:tcPr>
            <w:tcW w:w="488" w:type="pct"/>
            <w:gridSpan w:val="4"/>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24" w:type="pct"/>
            <w:gridSpan w:val="3"/>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35" w:type="pct"/>
            <w:gridSpan w:val="2"/>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single" w:color="auto" w:sz="4" w:space="0"/>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21</w:t>
            </w:r>
          </w:p>
        </w:tc>
        <w:tc>
          <w:tcPr>
            <w:tcW w:w="400" w:type="pct"/>
            <w:gridSpan w:val="2"/>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二十一、国有资本经营预算支出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53</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22</w:t>
            </w:r>
          </w:p>
        </w:tc>
        <w:tc>
          <w:tcPr>
            <w:tcW w:w="400" w:type="pct"/>
            <w:gridSpan w:val="2"/>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二十二、灾害防治及应急管理支出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54</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32.00</w:t>
            </w: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32.00</w:t>
            </w: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23</w:t>
            </w:r>
          </w:p>
        </w:tc>
        <w:tc>
          <w:tcPr>
            <w:tcW w:w="400" w:type="pct"/>
            <w:gridSpan w:val="2"/>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二十三、其他支出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55</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24</w:t>
            </w:r>
          </w:p>
        </w:tc>
        <w:tc>
          <w:tcPr>
            <w:tcW w:w="400" w:type="pct"/>
            <w:gridSpan w:val="2"/>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二十四、债务还本支出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56</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25</w:t>
            </w:r>
          </w:p>
        </w:tc>
        <w:tc>
          <w:tcPr>
            <w:tcW w:w="400" w:type="pct"/>
            <w:gridSpan w:val="2"/>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二十五、债务付息支出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57</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18"/>
                <w:szCs w:val="18"/>
              </w:rPr>
            </w:pP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26</w:t>
            </w:r>
          </w:p>
        </w:tc>
        <w:tc>
          <w:tcPr>
            <w:tcW w:w="40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1125" w:type="pct"/>
            <w:gridSpan w:val="4"/>
            <w:tcBorders>
              <w:top w:val="nil"/>
              <w:left w:val="nil"/>
              <w:bottom w:val="single" w:color="auto" w:sz="4" w:space="0"/>
              <w:right w:val="single" w:color="auto" w:sz="4" w:space="0"/>
            </w:tcBorders>
            <w:noWrap/>
            <w:vAlign w:val="center"/>
          </w:tcPr>
          <w:p>
            <w:pPr>
              <w:rPr>
                <w:rFonts w:ascii="宋体" w:cs="Arial"/>
                <w:color w:val="000000"/>
                <w:sz w:val="18"/>
                <w:szCs w:val="18"/>
              </w:rPr>
            </w:pPr>
            <w:r>
              <w:rPr>
                <w:rFonts w:hint="eastAsia" w:cs="Arial"/>
                <w:color w:val="000000"/>
                <w:sz w:val="18"/>
                <w:szCs w:val="18"/>
              </w:rPr>
              <w:t>二十六、抗疫特别国债安排的支出</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58</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center"/>
              <w:rPr>
                <w:rFonts w:ascii="宋体" w:cs="宋体"/>
                <w:b/>
                <w:bCs/>
                <w:kern w:val="0"/>
                <w:sz w:val="18"/>
                <w:szCs w:val="18"/>
              </w:rPr>
            </w:pPr>
            <w:r>
              <w:rPr>
                <w:rFonts w:hint="eastAsia" w:ascii="宋体" w:hAnsi="宋体" w:cs="宋体"/>
                <w:b/>
                <w:bCs/>
                <w:kern w:val="0"/>
                <w:sz w:val="18"/>
                <w:szCs w:val="18"/>
              </w:rPr>
              <w:t>本年收入合计</w:t>
            </w: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27</w:t>
            </w:r>
          </w:p>
        </w:tc>
        <w:tc>
          <w:tcPr>
            <w:tcW w:w="40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3,701.73</w:t>
            </w:r>
          </w:p>
        </w:tc>
        <w:tc>
          <w:tcPr>
            <w:tcW w:w="1125" w:type="pct"/>
            <w:gridSpan w:val="4"/>
            <w:tcBorders>
              <w:top w:val="nil"/>
              <w:left w:val="nil"/>
              <w:bottom w:val="single" w:color="auto" w:sz="4" w:space="0"/>
              <w:right w:val="single" w:color="auto" w:sz="4" w:space="0"/>
            </w:tcBorders>
            <w:noWrap/>
            <w:vAlign w:val="center"/>
          </w:tcPr>
          <w:p>
            <w:pPr>
              <w:widowControl/>
              <w:jc w:val="center"/>
              <w:rPr>
                <w:rFonts w:ascii="宋体" w:cs="宋体"/>
                <w:b/>
                <w:bCs/>
                <w:kern w:val="0"/>
                <w:sz w:val="18"/>
                <w:szCs w:val="18"/>
              </w:rPr>
            </w:pPr>
            <w:r>
              <w:rPr>
                <w:rFonts w:hint="eastAsia" w:ascii="宋体" w:hAnsi="宋体" w:cs="宋体"/>
                <w:b/>
                <w:bCs/>
                <w:kern w:val="0"/>
                <w:sz w:val="18"/>
                <w:szCs w:val="18"/>
              </w:rPr>
              <w:t>本年支出合计</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59</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3,845.45</w:t>
            </w: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2,822.77</w:t>
            </w: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1,022.67</w:t>
            </w: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18"/>
                <w:szCs w:val="18"/>
              </w:rPr>
            </w:pPr>
            <w:r>
              <w:rPr>
                <w:rFonts w:hint="eastAsia" w:ascii="宋体" w:hAnsi="宋体" w:cs="宋体"/>
                <w:kern w:val="0"/>
                <w:sz w:val="18"/>
                <w:szCs w:val="18"/>
              </w:rPr>
              <w:t>年初财政拨款结转和结余</w:t>
            </w: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28</w:t>
            </w:r>
          </w:p>
        </w:tc>
        <w:tc>
          <w:tcPr>
            <w:tcW w:w="40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557.25</w:t>
            </w:r>
          </w:p>
        </w:tc>
        <w:tc>
          <w:tcPr>
            <w:tcW w:w="1125" w:type="pct"/>
            <w:gridSpan w:val="4"/>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hint="eastAsia" w:ascii="宋体" w:hAnsi="宋体" w:cs="宋体"/>
                <w:kern w:val="0"/>
                <w:sz w:val="18"/>
                <w:szCs w:val="18"/>
              </w:rPr>
              <w:t>年末财政拨款结转和结余</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60</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413.53</w:t>
            </w: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413.53</w:t>
            </w: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18"/>
                <w:szCs w:val="18"/>
              </w:rPr>
            </w:pPr>
            <w:r>
              <w:rPr>
                <w:rFonts w:hint="eastAsia" w:ascii="宋体" w:hAnsi="宋体" w:cs="宋体"/>
                <w:kern w:val="0"/>
                <w:sz w:val="18"/>
                <w:szCs w:val="18"/>
              </w:rPr>
              <w:t>一般公共预算财政拨款</w:t>
            </w: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29</w:t>
            </w:r>
          </w:p>
        </w:tc>
        <w:tc>
          <w:tcPr>
            <w:tcW w:w="40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557.25</w:t>
            </w:r>
          </w:p>
        </w:tc>
        <w:tc>
          <w:tcPr>
            <w:tcW w:w="1125" w:type="pct"/>
            <w:gridSpan w:val="4"/>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61</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18"/>
                <w:szCs w:val="18"/>
              </w:rPr>
            </w:pPr>
            <w:r>
              <w:rPr>
                <w:rFonts w:hint="eastAsia" w:ascii="宋体" w:hAnsi="宋体" w:cs="宋体"/>
                <w:kern w:val="0"/>
                <w:sz w:val="18"/>
                <w:szCs w:val="18"/>
              </w:rPr>
              <w:t>政府性基金预算财政拨款</w:t>
            </w: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30</w:t>
            </w:r>
          </w:p>
        </w:tc>
        <w:tc>
          <w:tcPr>
            <w:tcW w:w="40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1125" w:type="pct"/>
            <w:gridSpan w:val="4"/>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62</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18"/>
                <w:szCs w:val="18"/>
              </w:rPr>
            </w:pPr>
            <w:r>
              <w:rPr>
                <w:rFonts w:hint="eastAsia" w:ascii="宋体" w:hAnsi="宋体" w:cs="宋体"/>
                <w:kern w:val="0"/>
                <w:sz w:val="18"/>
                <w:szCs w:val="18"/>
              </w:rPr>
              <w:t>国有资本经营预算财政拨款</w:t>
            </w:r>
          </w:p>
        </w:tc>
        <w:tc>
          <w:tcPr>
            <w:tcW w:w="204" w:type="pct"/>
            <w:gridSpan w:val="2"/>
            <w:tcBorders>
              <w:top w:val="nil"/>
              <w:left w:val="nil"/>
              <w:bottom w:val="single" w:color="auto" w:sz="4" w:space="0"/>
              <w:right w:val="single" w:color="auto" w:sz="4" w:space="0"/>
            </w:tcBorders>
            <w:noWrap/>
            <w:vAlign w:val="center"/>
          </w:tcPr>
          <w:p>
            <w:pPr>
              <w:widowControl/>
              <w:jc w:val="center"/>
              <w:rPr>
                <w:rFonts w:ascii="宋体" w:cs="宋体"/>
                <w:kern w:val="0"/>
                <w:sz w:val="18"/>
                <w:szCs w:val="18"/>
              </w:rPr>
            </w:pPr>
            <w:r>
              <w:rPr>
                <w:rFonts w:ascii="宋体" w:hAnsi="宋体" w:cs="宋体"/>
                <w:kern w:val="0"/>
                <w:sz w:val="18"/>
                <w:szCs w:val="18"/>
              </w:rPr>
              <w:t>31</w:t>
            </w:r>
          </w:p>
        </w:tc>
        <w:tc>
          <w:tcPr>
            <w:tcW w:w="40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p>
        </w:tc>
        <w:tc>
          <w:tcPr>
            <w:tcW w:w="1125" w:type="pct"/>
            <w:gridSpan w:val="4"/>
            <w:tcBorders>
              <w:top w:val="nil"/>
              <w:left w:val="nil"/>
              <w:bottom w:val="single" w:color="auto" w:sz="4" w:space="0"/>
              <w:right w:val="single" w:color="auto" w:sz="4" w:space="0"/>
            </w:tcBorders>
            <w:noWrap/>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311" w:type="pct"/>
            <w:gridSpan w:val="3"/>
            <w:tcBorders>
              <w:top w:val="nil"/>
              <w:left w:val="nil"/>
              <w:bottom w:val="single" w:color="auto" w:sz="4" w:space="0"/>
              <w:right w:val="single" w:color="auto" w:sz="4" w:space="0"/>
            </w:tcBorders>
            <w:noWrap/>
            <w:vAlign w:val="center"/>
          </w:tcPr>
          <w:p>
            <w:pPr>
              <w:jc w:val="center"/>
              <w:rPr>
                <w:rFonts w:ascii="宋体" w:cs="Arial"/>
                <w:color w:val="000000"/>
                <w:sz w:val="18"/>
                <w:szCs w:val="18"/>
              </w:rPr>
            </w:pPr>
            <w:r>
              <w:rPr>
                <w:rFonts w:ascii="宋体" w:hAnsi="宋体" w:cs="Arial"/>
                <w:color w:val="000000"/>
                <w:sz w:val="18"/>
                <w:szCs w:val="18"/>
              </w:rPr>
              <w:t>63</w:t>
            </w:r>
          </w:p>
        </w:tc>
        <w:tc>
          <w:tcPr>
            <w:tcW w:w="488" w:type="pct"/>
            <w:gridSpan w:val="4"/>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24" w:type="pct"/>
            <w:gridSpan w:val="3"/>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30" w:type="pct"/>
          <w:trHeight w:val="402" w:hRule="atLeast"/>
        </w:trPr>
        <w:tc>
          <w:tcPr>
            <w:tcW w:w="1093" w:type="pct"/>
            <w:gridSpan w:val="6"/>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b/>
                <w:bCs/>
                <w:kern w:val="0"/>
                <w:sz w:val="18"/>
                <w:szCs w:val="18"/>
              </w:rPr>
            </w:pPr>
            <w:r>
              <w:rPr>
                <w:rFonts w:hint="eastAsia" w:ascii="宋体" w:hAnsi="宋体" w:cs="宋体"/>
                <w:b/>
                <w:bCs/>
                <w:kern w:val="0"/>
                <w:sz w:val="18"/>
                <w:szCs w:val="18"/>
              </w:rPr>
              <w:t>总计</w:t>
            </w:r>
          </w:p>
        </w:tc>
        <w:tc>
          <w:tcPr>
            <w:tcW w:w="204"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18"/>
                <w:szCs w:val="18"/>
              </w:rPr>
            </w:pPr>
            <w:r>
              <w:rPr>
                <w:rFonts w:ascii="宋体" w:hAnsi="宋体" w:cs="宋体"/>
                <w:kern w:val="0"/>
                <w:sz w:val="18"/>
                <w:szCs w:val="18"/>
              </w:rPr>
              <w:t>32</w:t>
            </w:r>
          </w:p>
        </w:tc>
        <w:tc>
          <w:tcPr>
            <w:tcW w:w="40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4,258.97</w:t>
            </w:r>
          </w:p>
        </w:tc>
        <w:tc>
          <w:tcPr>
            <w:tcW w:w="1125" w:type="pct"/>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b/>
                <w:bCs/>
                <w:kern w:val="0"/>
                <w:sz w:val="18"/>
                <w:szCs w:val="18"/>
              </w:rPr>
            </w:pPr>
            <w:r>
              <w:rPr>
                <w:rFonts w:hint="eastAsia" w:ascii="宋体" w:hAnsi="宋体" w:cs="宋体"/>
                <w:b/>
                <w:bCs/>
                <w:kern w:val="0"/>
                <w:sz w:val="18"/>
                <w:szCs w:val="18"/>
              </w:rPr>
              <w:t>总计</w:t>
            </w:r>
          </w:p>
        </w:tc>
        <w:tc>
          <w:tcPr>
            <w:tcW w:w="311" w:type="pct"/>
            <w:gridSpan w:val="3"/>
            <w:tcBorders>
              <w:top w:val="nil"/>
              <w:left w:val="nil"/>
              <w:bottom w:val="single" w:color="auto" w:sz="4" w:space="0"/>
              <w:right w:val="single" w:color="auto" w:sz="4" w:space="0"/>
            </w:tcBorders>
            <w:shd w:val="clear" w:color="000000" w:fill="FFFFFF"/>
            <w:noWrap/>
            <w:vAlign w:val="center"/>
          </w:tcPr>
          <w:p>
            <w:pPr>
              <w:jc w:val="center"/>
              <w:rPr>
                <w:rFonts w:ascii="宋体" w:cs="Arial"/>
                <w:color w:val="000000"/>
                <w:sz w:val="18"/>
                <w:szCs w:val="18"/>
              </w:rPr>
            </w:pPr>
            <w:r>
              <w:rPr>
                <w:rFonts w:ascii="宋体" w:hAnsi="宋体" w:cs="Arial"/>
                <w:color w:val="000000"/>
                <w:sz w:val="18"/>
                <w:szCs w:val="18"/>
              </w:rPr>
              <w:t>64</w:t>
            </w:r>
          </w:p>
        </w:tc>
        <w:tc>
          <w:tcPr>
            <w:tcW w:w="488" w:type="pct"/>
            <w:gridSpan w:val="4"/>
            <w:tcBorders>
              <w:top w:val="nil"/>
              <w:left w:val="nil"/>
              <w:bottom w:val="single" w:color="auto" w:sz="4" w:space="0"/>
              <w:right w:val="single" w:color="auto" w:sz="4" w:space="0"/>
            </w:tcBorders>
            <w:shd w:val="clear" w:color="000000" w:fill="FFFFFF"/>
            <w:noWrap/>
            <w:vAlign w:val="center"/>
          </w:tcPr>
          <w:p>
            <w:pPr>
              <w:widowControl/>
              <w:jc w:val="right"/>
              <w:rPr>
                <w:rFonts w:ascii="宋体" w:cs="宋体"/>
                <w:kern w:val="0"/>
                <w:sz w:val="18"/>
                <w:szCs w:val="18"/>
              </w:rPr>
            </w:pPr>
            <w:r>
              <w:rPr>
                <w:rFonts w:ascii="宋体" w:hAnsi="宋体" w:cs="宋体"/>
                <w:kern w:val="0"/>
                <w:sz w:val="18"/>
                <w:szCs w:val="18"/>
              </w:rPr>
              <w:t>4,258.97</w:t>
            </w:r>
          </w:p>
        </w:tc>
        <w:tc>
          <w:tcPr>
            <w:tcW w:w="424" w:type="pct"/>
            <w:gridSpan w:val="3"/>
            <w:tcBorders>
              <w:top w:val="nil"/>
              <w:left w:val="nil"/>
              <w:bottom w:val="single" w:color="auto" w:sz="4" w:space="0"/>
              <w:right w:val="single" w:color="auto" w:sz="4" w:space="0"/>
            </w:tcBorders>
            <w:shd w:val="clear" w:color="000000" w:fill="FFFFFF"/>
            <w:noWrap/>
            <w:vAlign w:val="center"/>
          </w:tcPr>
          <w:p>
            <w:pPr>
              <w:widowControl/>
              <w:jc w:val="right"/>
              <w:rPr>
                <w:rFonts w:ascii="宋体" w:cs="宋体"/>
                <w:kern w:val="0"/>
                <w:sz w:val="18"/>
                <w:szCs w:val="18"/>
              </w:rPr>
            </w:pPr>
            <w:r>
              <w:rPr>
                <w:rFonts w:ascii="宋体" w:hAnsi="宋体" w:cs="宋体"/>
                <w:kern w:val="0"/>
                <w:sz w:val="18"/>
                <w:szCs w:val="18"/>
              </w:rPr>
              <w:t>3,236.30</w:t>
            </w:r>
          </w:p>
        </w:tc>
        <w:tc>
          <w:tcPr>
            <w:tcW w:w="435"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ascii="宋体" w:hAnsi="宋体" w:cs="宋体"/>
                <w:kern w:val="0"/>
                <w:sz w:val="18"/>
                <w:szCs w:val="18"/>
              </w:rPr>
              <w:t>1,022.67</w:t>
            </w:r>
          </w:p>
        </w:tc>
        <w:tc>
          <w:tcPr>
            <w:tcW w:w="490" w:type="pct"/>
            <w:gridSpan w:val="2"/>
            <w:tcBorders>
              <w:top w:val="nil"/>
              <w:left w:val="nil"/>
              <w:bottom w:val="single" w:color="auto" w:sz="4" w:space="0"/>
              <w:right w:val="single" w:color="auto" w:sz="4" w:space="0"/>
            </w:tcBorders>
            <w:noWrap/>
            <w:vAlign w:val="center"/>
          </w:tcPr>
          <w:p>
            <w:pPr>
              <w:widowControl/>
              <w:jc w:val="right"/>
              <w:rPr>
                <w:rFonts w:asci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30" w:type="pct"/>
          <w:trHeight w:val="585" w:hRule="atLeast"/>
        </w:trPr>
        <w:tc>
          <w:tcPr>
            <w:tcW w:w="4970" w:type="pct"/>
            <w:gridSpan w:val="28"/>
            <w:tcBorders>
              <w:top w:val="nil"/>
              <w:left w:val="nil"/>
              <w:bottom w:val="nil"/>
              <w:right w:val="nil"/>
            </w:tcBorders>
            <w:vAlign w:val="center"/>
          </w:tcPr>
          <w:p>
            <w:pPr>
              <w:widowControl/>
              <w:jc w:val="left"/>
              <w:rPr>
                <w:rFonts w:ascii="宋体" w:cs="宋体"/>
                <w:kern w:val="0"/>
                <w:sz w:val="18"/>
                <w:szCs w:val="18"/>
              </w:rPr>
            </w:pPr>
            <w:r>
              <w:rPr>
                <w:rFonts w:hint="eastAsia" w:ascii="宋体" w:hAnsi="宋体" w:cs="宋体"/>
                <w:kern w:val="0"/>
                <w:sz w:val="18"/>
                <w:szCs w:val="18"/>
              </w:rPr>
              <w:t>注：本表反映部门本年度一般公共预算财政拨款、政府性基金预算财政拨款和国有资本经营预算财政拨款的总收支和年末结转结余情况。</w:t>
            </w:r>
          </w:p>
        </w:tc>
      </w:tr>
    </w:tbl>
    <w:p>
      <w:pPr>
        <w:widowControl/>
        <w:jc w:val="right"/>
        <w:rPr>
          <w:rFonts w:ascii="Times New Roman" w:hAnsi="Times New Roman" w:eastAsia="方正小标宋_GBK"/>
          <w:kern w:val="0"/>
          <w:sz w:val="36"/>
          <w:szCs w:val="36"/>
        </w:rPr>
      </w:pPr>
    </w:p>
    <w:p>
      <w:pPr>
        <w:widowControl/>
        <w:jc w:val="right"/>
        <w:rPr>
          <w:rFonts w:ascii="宋体" w:cs="宋体"/>
          <w:kern w:val="0"/>
          <w:sz w:val="22"/>
        </w:rPr>
      </w:pPr>
    </w:p>
    <w:p>
      <w:pPr>
        <w:widowControl/>
        <w:jc w:val="right"/>
        <w:rPr>
          <w:rFonts w:ascii="Times New Roman" w:hAnsi="Times New Roman" w:eastAsia="方正小标宋_GBK"/>
          <w:kern w:val="0"/>
          <w:sz w:val="32"/>
          <w:szCs w:val="32"/>
        </w:rPr>
      </w:pPr>
    </w:p>
    <w:p>
      <w:pPr>
        <w:widowControl/>
        <w:jc w:val="right"/>
        <w:rPr>
          <w:rFonts w:ascii="Times New Roman" w:hAnsi="Times New Roman" w:eastAsia="方正小标宋_GBK"/>
          <w:kern w:val="0"/>
          <w:sz w:val="32"/>
          <w:szCs w:val="32"/>
        </w:rPr>
      </w:pPr>
    </w:p>
    <w:p>
      <w:pPr>
        <w:widowControl/>
        <w:jc w:val="right"/>
        <w:rPr>
          <w:rFonts w:ascii="Times New Roman" w:hAnsi="Times New Roman" w:eastAsia="方正小标宋_GBK"/>
          <w:kern w:val="0"/>
          <w:sz w:val="32"/>
          <w:szCs w:val="32"/>
        </w:rPr>
      </w:pPr>
    </w:p>
    <w:p>
      <w:pPr>
        <w:widowControl/>
        <w:jc w:val="right"/>
        <w:rPr>
          <w:rFonts w:ascii="Times New Roman" w:hAnsi="Times New Roman" w:eastAsia="方正小标宋_GBK"/>
          <w:kern w:val="0"/>
          <w:sz w:val="32"/>
          <w:szCs w:val="32"/>
        </w:rPr>
      </w:pPr>
    </w:p>
    <w:p>
      <w:pPr>
        <w:widowControl/>
        <w:jc w:val="right"/>
        <w:rPr>
          <w:rFonts w:ascii="Times New Roman" w:hAnsi="Times New Roman" w:eastAsia="方正小标宋_GBK"/>
          <w:kern w:val="0"/>
          <w:sz w:val="32"/>
          <w:szCs w:val="32"/>
        </w:rPr>
      </w:pPr>
    </w:p>
    <w:p>
      <w:pPr>
        <w:widowControl/>
        <w:spacing w:line="100" w:lineRule="exact"/>
        <w:jc w:val="right"/>
        <w:rPr>
          <w:rFonts w:ascii="Times New Roman" w:hAnsi="Times New Roman" w:eastAsia="方正小标宋_GBK"/>
          <w:kern w:val="0"/>
          <w:sz w:val="32"/>
          <w:szCs w:val="32"/>
        </w:rPr>
      </w:pPr>
    </w:p>
    <w:p>
      <w:pPr>
        <w:widowControl/>
        <w:spacing w:line="80" w:lineRule="exact"/>
        <w:jc w:val="right"/>
        <w:rPr>
          <w:rFonts w:ascii="Times New Roman" w:hAnsi="Times New Roman" w:eastAsia="方正小标宋_GBK"/>
          <w:kern w:val="0"/>
          <w:sz w:val="28"/>
          <w:szCs w:val="28"/>
        </w:rPr>
      </w:pPr>
    </w:p>
    <w:p>
      <w:pPr>
        <w:widowControl/>
        <w:spacing w:line="80" w:lineRule="exact"/>
        <w:jc w:val="right"/>
        <w:rPr>
          <w:rFonts w:ascii="Times New Roman" w:hAnsi="Times New Roman" w:eastAsia="方正小标宋_GBK"/>
          <w:kern w:val="0"/>
          <w:sz w:val="28"/>
          <w:szCs w:val="28"/>
        </w:rPr>
      </w:pPr>
    </w:p>
    <w:p>
      <w:pPr>
        <w:widowControl/>
        <w:spacing w:line="80" w:lineRule="exact"/>
        <w:jc w:val="right"/>
        <w:rPr>
          <w:rFonts w:ascii="Times New Roman" w:hAnsi="Times New Roman" w:eastAsia="方正小标宋_GBK"/>
          <w:kern w:val="0"/>
          <w:sz w:val="28"/>
          <w:szCs w:val="28"/>
        </w:rPr>
      </w:pPr>
    </w:p>
    <w:p>
      <w:pPr>
        <w:widowControl/>
        <w:spacing w:line="80" w:lineRule="exact"/>
        <w:jc w:val="center"/>
        <w:rPr>
          <w:rFonts w:ascii="Times New Roman" w:hAnsi="Times New Roman" w:eastAsia="方正小标宋_GBK"/>
          <w:kern w:val="0"/>
          <w:sz w:val="28"/>
          <w:szCs w:val="28"/>
        </w:rPr>
      </w:pPr>
    </w:p>
    <w:p>
      <w:pPr>
        <w:widowControl/>
        <w:spacing w:line="80" w:lineRule="exact"/>
        <w:jc w:val="center"/>
        <w:rPr>
          <w:rFonts w:ascii="Times New Roman" w:hAnsi="Times New Roman" w:eastAsia="方正小标宋_GBK"/>
          <w:kern w:val="0"/>
          <w:sz w:val="28"/>
          <w:szCs w:val="28"/>
        </w:rPr>
      </w:pPr>
    </w:p>
    <w:p>
      <w:pPr>
        <w:widowControl/>
        <w:spacing w:line="180" w:lineRule="atLeast"/>
        <w:jc w:val="center"/>
        <w:rPr>
          <w:rFonts w:ascii="宋体" w:cs="宋体"/>
          <w:b/>
          <w:color w:val="000000"/>
          <w:kern w:val="0"/>
          <w:sz w:val="32"/>
          <w:szCs w:val="32"/>
        </w:rPr>
      </w:pPr>
      <w:r>
        <w:rPr>
          <w:rFonts w:hint="eastAsia" w:ascii="宋体" w:hAnsi="宋体" w:cs="宋体"/>
          <w:b/>
          <w:color w:val="000000"/>
          <w:kern w:val="0"/>
          <w:sz w:val="32"/>
          <w:szCs w:val="32"/>
        </w:rPr>
        <w:t>一般公共预算财政拨款支出决算表</w:t>
      </w:r>
    </w:p>
    <w:p>
      <w:pPr>
        <w:widowControl/>
        <w:spacing w:beforeLines="5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公开</w:t>
      </w:r>
      <w:r>
        <w:rPr>
          <w:rFonts w:ascii="Times New Roman" w:hAnsi="Times New Roman" w:eastAsia="仿宋_GB2312"/>
          <w:color w:val="000000"/>
          <w:kern w:val="0"/>
          <w:szCs w:val="21"/>
        </w:rPr>
        <w:t>05</w:t>
      </w:r>
      <w:r>
        <w:rPr>
          <w:rFonts w:hint="eastAsia" w:ascii="Times New Roman" w:hAnsi="Times New Roman" w:eastAsia="仿宋_GB2312"/>
          <w:color w:val="000000"/>
          <w:kern w:val="0"/>
          <w:szCs w:val="21"/>
        </w:rPr>
        <w:t>表</w:t>
      </w:r>
    </w:p>
    <w:p>
      <w:pPr>
        <w:widowControl/>
        <w:ind w:firstLine="315" w:firstLineChars="150"/>
        <w:jc w:val="left"/>
        <w:rPr>
          <w:rFonts w:ascii="Times New Roman" w:hAnsi="Times New Roman"/>
          <w:color w:val="000000"/>
          <w:kern w:val="0"/>
          <w:sz w:val="20"/>
          <w:szCs w:val="20"/>
        </w:rPr>
      </w:pPr>
      <w:r>
        <w:rPr>
          <w:rFonts w:hint="eastAsia" w:ascii="Times New Roman" w:hAnsi="Times New Roman" w:eastAsia="仿宋_GB2312"/>
          <w:color w:val="000000"/>
          <w:kern w:val="0"/>
          <w:szCs w:val="21"/>
        </w:rPr>
        <w:t>部门：沅江市国土资源局</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单位：万元</w:t>
      </w:r>
    </w:p>
    <w:tbl>
      <w:tblPr>
        <w:tblStyle w:val="5"/>
        <w:tblW w:w="5000" w:type="pct"/>
        <w:jc w:val="center"/>
        <w:tblLayout w:type="autofit"/>
        <w:tblCellMar>
          <w:top w:w="0" w:type="dxa"/>
          <w:left w:w="108" w:type="dxa"/>
          <w:bottom w:w="0" w:type="dxa"/>
          <w:right w:w="108" w:type="dxa"/>
        </w:tblCellMar>
      </w:tblPr>
      <w:tblGrid>
        <w:gridCol w:w="519"/>
        <w:gridCol w:w="832"/>
        <w:gridCol w:w="1534"/>
        <w:gridCol w:w="1382"/>
        <w:gridCol w:w="1594"/>
        <w:gridCol w:w="209"/>
        <w:gridCol w:w="751"/>
        <w:gridCol w:w="1641"/>
        <w:gridCol w:w="307"/>
        <w:gridCol w:w="982"/>
        <w:gridCol w:w="892"/>
        <w:gridCol w:w="434"/>
        <w:gridCol w:w="2874"/>
        <w:gridCol w:w="238"/>
        <w:gridCol w:w="1425"/>
      </w:tblGrid>
      <w:tr>
        <w:tblPrEx>
          <w:tblCellMar>
            <w:top w:w="0" w:type="dxa"/>
            <w:left w:w="108" w:type="dxa"/>
            <w:bottom w:w="0" w:type="dxa"/>
            <w:right w:w="108" w:type="dxa"/>
          </w:tblCellMar>
        </w:tblPrEx>
        <w:trPr>
          <w:gridBefore w:val="1"/>
          <w:gridAfter w:val="2"/>
          <w:wBefore w:w="172" w:type="pct"/>
          <w:wAfter w:w="378" w:type="pct"/>
          <w:trHeight w:val="458" w:hRule="exact"/>
          <w:jc w:val="center"/>
        </w:trPr>
        <w:tc>
          <w:tcPr>
            <w:tcW w:w="1840" w:type="pct"/>
            <w:gridSpan w:val="5"/>
            <w:tcBorders>
              <w:top w:val="single" w:color="auto" w:sz="8" w:space="0"/>
              <w:left w:val="single" w:color="auto" w:sz="8" w:space="0"/>
              <w:bottom w:val="single" w:color="auto" w:sz="4" w:space="0"/>
              <w:right w:val="single" w:color="auto" w:sz="4" w:space="0"/>
            </w:tcBorders>
            <w:vAlign w:val="center"/>
          </w:tcPr>
          <w:p>
            <w:pPr>
              <w:widowControl/>
              <w:jc w:val="center"/>
              <w:rPr>
                <w:rFonts w:ascii="宋体"/>
                <w:kern w:val="0"/>
                <w:sz w:val="18"/>
                <w:szCs w:val="18"/>
              </w:rPr>
            </w:pPr>
            <w:r>
              <w:rPr>
                <w:rFonts w:hint="eastAsia" w:ascii="宋体" w:hAnsi="宋体"/>
                <w:kern w:val="0"/>
                <w:sz w:val="18"/>
                <w:szCs w:val="18"/>
              </w:rPr>
              <w:t>项目</w:t>
            </w:r>
          </w:p>
        </w:tc>
        <w:tc>
          <w:tcPr>
            <w:tcW w:w="2610" w:type="pct"/>
            <w:gridSpan w:val="7"/>
            <w:tcBorders>
              <w:top w:val="single" w:color="auto" w:sz="8" w:space="0"/>
              <w:left w:val="nil"/>
              <w:bottom w:val="single" w:color="auto" w:sz="4" w:space="0"/>
              <w:right w:val="single" w:color="000000" w:sz="8" w:space="0"/>
            </w:tcBorders>
            <w:vAlign w:val="center"/>
          </w:tcPr>
          <w:p>
            <w:pPr>
              <w:widowControl/>
              <w:jc w:val="center"/>
              <w:rPr>
                <w:rFonts w:ascii="宋体"/>
                <w:kern w:val="0"/>
                <w:sz w:val="18"/>
                <w:szCs w:val="18"/>
              </w:rPr>
            </w:pPr>
            <w:r>
              <w:rPr>
                <w:rFonts w:hint="eastAsia" w:ascii="宋体" w:hAnsi="宋体"/>
                <w:kern w:val="0"/>
                <w:sz w:val="18"/>
                <w:szCs w:val="18"/>
              </w:rPr>
              <w:t>本年支出</w:t>
            </w:r>
          </w:p>
        </w:tc>
      </w:tr>
      <w:tr>
        <w:tblPrEx>
          <w:tblCellMar>
            <w:top w:w="0" w:type="dxa"/>
            <w:left w:w="108" w:type="dxa"/>
            <w:bottom w:w="0" w:type="dxa"/>
            <w:right w:w="108" w:type="dxa"/>
          </w:tblCellMar>
        </w:tblPrEx>
        <w:trPr>
          <w:gridBefore w:val="1"/>
          <w:gridAfter w:val="2"/>
          <w:wBefore w:w="172" w:type="pct"/>
          <w:wAfter w:w="378" w:type="pct"/>
          <w:trHeight w:val="312" w:hRule="atLeast"/>
          <w:jc w:val="center"/>
        </w:trPr>
        <w:tc>
          <w:tcPr>
            <w:tcW w:w="784" w:type="pct"/>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kern w:val="0"/>
                <w:sz w:val="18"/>
                <w:szCs w:val="18"/>
              </w:rPr>
            </w:pPr>
            <w:r>
              <w:rPr>
                <w:rFonts w:hint="eastAsia" w:ascii="宋体" w:hAnsi="宋体"/>
                <w:kern w:val="0"/>
                <w:sz w:val="18"/>
                <w:szCs w:val="18"/>
              </w:rPr>
              <w:t>功能分类科目编码</w:t>
            </w:r>
          </w:p>
        </w:tc>
        <w:tc>
          <w:tcPr>
            <w:tcW w:w="1056" w:type="pct"/>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18"/>
                <w:szCs w:val="18"/>
              </w:rPr>
            </w:pPr>
            <w:r>
              <w:rPr>
                <w:rFonts w:hint="eastAsia" w:ascii="宋体" w:hAnsi="宋体"/>
                <w:kern w:val="0"/>
                <w:sz w:val="18"/>
                <w:szCs w:val="18"/>
              </w:rPr>
              <w:t>科目名称</w:t>
            </w:r>
          </w:p>
        </w:tc>
        <w:tc>
          <w:tcPr>
            <w:tcW w:w="792" w:type="pct"/>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kern w:val="0"/>
                <w:sz w:val="18"/>
                <w:szCs w:val="18"/>
              </w:rPr>
            </w:pPr>
            <w:r>
              <w:rPr>
                <w:rFonts w:hint="eastAsia" w:ascii="宋体" w:hAnsi="宋体"/>
                <w:kern w:val="0"/>
                <w:sz w:val="18"/>
                <w:szCs w:val="18"/>
              </w:rPr>
              <w:t>小计</w:t>
            </w:r>
          </w:p>
        </w:tc>
        <w:tc>
          <w:tcPr>
            <w:tcW w:w="864" w:type="pct"/>
            <w:gridSpan w:val="4"/>
            <w:vMerge w:val="restart"/>
            <w:tcBorders>
              <w:top w:val="nil"/>
              <w:left w:val="single" w:color="auto" w:sz="4" w:space="0"/>
              <w:bottom w:val="single" w:color="000000" w:sz="4" w:space="0"/>
              <w:right w:val="single" w:color="auto" w:sz="4" w:space="0"/>
            </w:tcBorders>
            <w:vAlign w:val="center"/>
          </w:tcPr>
          <w:p>
            <w:pPr>
              <w:widowControl/>
              <w:jc w:val="center"/>
              <w:rPr>
                <w:rFonts w:ascii="宋体"/>
                <w:kern w:val="0"/>
                <w:sz w:val="18"/>
                <w:szCs w:val="18"/>
              </w:rPr>
            </w:pPr>
            <w:r>
              <w:rPr>
                <w:rFonts w:hint="eastAsia" w:ascii="宋体" w:hAnsi="宋体"/>
                <w:kern w:val="0"/>
                <w:sz w:val="18"/>
                <w:szCs w:val="18"/>
              </w:rPr>
              <w:t>基本支出</w:t>
            </w:r>
          </w:p>
        </w:tc>
        <w:tc>
          <w:tcPr>
            <w:tcW w:w="954" w:type="pct"/>
            <w:vMerge w:val="restart"/>
            <w:tcBorders>
              <w:top w:val="nil"/>
              <w:left w:val="single" w:color="auto" w:sz="4" w:space="0"/>
              <w:bottom w:val="single" w:color="000000" w:sz="4" w:space="0"/>
              <w:right w:val="single" w:color="auto" w:sz="8" w:space="0"/>
            </w:tcBorders>
            <w:vAlign w:val="center"/>
          </w:tcPr>
          <w:p>
            <w:pPr>
              <w:widowControl/>
              <w:jc w:val="center"/>
              <w:rPr>
                <w:rFonts w:ascii="宋体"/>
                <w:kern w:val="0"/>
                <w:sz w:val="18"/>
                <w:szCs w:val="18"/>
              </w:rPr>
            </w:pPr>
            <w:r>
              <w:rPr>
                <w:rFonts w:hint="eastAsia" w:ascii="宋体" w:hAnsi="宋体"/>
                <w:kern w:val="0"/>
                <w:sz w:val="18"/>
                <w:szCs w:val="18"/>
              </w:rPr>
              <w:t>项目支出</w:t>
            </w:r>
          </w:p>
        </w:tc>
      </w:tr>
      <w:tr>
        <w:tblPrEx>
          <w:tblCellMar>
            <w:top w:w="0" w:type="dxa"/>
            <w:left w:w="108" w:type="dxa"/>
            <w:bottom w:w="0" w:type="dxa"/>
            <w:right w:w="108" w:type="dxa"/>
          </w:tblCellMar>
        </w:tblPrEx>
        <w:trPr>
          <w:gridBefore w:val="1"/>
          <w:gridAfter w:val="2"/>
          <w:wBefore w:w="172" w:type="pct"/>
          <w:wAfter w:w="378" w:type="pct"/>
          <w:trHeight w:val="312" w:hRule="atLeast"/>
          <w:jc w:val="center"/>
        </w:trPr>
        <w:tc>
          <w:tcPr>
            <w:tcW w:w="784" w:type="pct"/>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kern w:val="0"/>
                <w:sz w:val="18"/>
                <w:szCs w:val="18"/>
              </w:rPr>
            </w:pPr>
          </w:p>
        </w:tc>
        <w:tc>
          <w:tcPr>
            <w:tcW w:w="1056" w:type="pct"/>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18"/>
                <w:szCs w:val="18"/>
              </w:rPr>
            </w:pPr>
          </w:p>
        </w:tc>
        <w:tc>
          <w:tcPr>
            <w:tcW w:w="792" w:type="pct"/>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 w:val="18"/>
                <w:szCs w:val="18"/>
              </w:rPr>
            </w:pPr>
          </w:p>
        </w:tc>
        <w:tc>
          <w:tcPr>
            <w:tcW w:w="864" w:type="pct"/>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 w:val="18"/>
                <w:szCs w:val="18"/>
              </w:rPr>
            </w:pPr>
          </w:p>
        </w:tc>
        <w:tc>
          <w:tcPr>
            <w:tcW w:w="954" w:type="pct"/>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gridBefore w:val="1"/>
          <w:gridAfter w:val="2"/>
          <w:wBefore w:w="172" w:type="pct"/>
          <w:wAfter w:w="378" w:type="pct"/>
          <w:trHeight w:val="312" w:hRule="atLeast"/>
          <w:jc w:val="center"/>
        </w:trPr>
        <w:tc>
          <w:tcPr>
            <w:tcW w:w="784" w:type="pct"/>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kern w:val="0"/>
                <w:sz w:val="18"/>
                <w:szCs w:val="18"/>
              </w:rPr>
            </w:pPr>
          </w:p>
        </w:tc>
        <w:tc>
          <w:tcPr>
            <w:tcW w:w="1056" w:type="pct"/>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18"/>
                <w:szCs w:val="18"/>
              </w:rPr>
            </w:pPr>
          </w:p>
        </w:tc>
        <w:tc>
          <w:tcPr>
            <w:tcW w:w="792" w:type="pct"/>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 w:val="18"/>
                <w:szCs w:val="18"/>
              </w:rPr>
            </w:pPr>
          </w:p>
        </w:tc>
        <w:tc>
          <w:tcPr>
            <w:tcW w:w="864" w:type="pct"/>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 w:val="18"/>
                <w:szCs w:val="18"/>
              </w:rPr>
            </w:pPr>
          </w:p>
        </w:tc>
        <w:tc>
          <w:tcPr>
            <w:tcW w:w="954" w:type="pct"/>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1840" w:type="pct"/>
            <w:gridSpan w:val="5"/>
            <w:tcBorders>
              <w:top w:val="single" w:color="auto" w:sz="4" w:space="0"/>
              <w:left w:val="single" w:color="auto" w:sz="8" w:space="0"/>
              <w:bottom w:val="single" w:color="auto" w:sz="4" w:space="0"/>
              <w:right w:val="single" w:color="auto" w:sz="4" w:space="0"/>
            </w:tcBorders>
            <w:vAlign w:val="center"/>
          </w:tcPr>
          <w:p>
            <w:pPr>
              <w:widowControl/>
              <w:jc w:val="center"/>
              <w:rPr>
                <w:rFonts w:ascii="宋体"/>
                <w:kern w:val="0"/>
                <w:sz w:val="18"/>
                <w:szCs w:val="18"/>
              </w:rPr>
            </w:pPr>
            <w:r>
              <w:rPr>
                <w:rFonts w:hint="eastAsia" w:ascii="宋体" w:hAnsi="宋体"/>
                <w:kern w:val="0"/>
                <w:sz w:val="18"/>
                <w:szCs w:val="18"/>
              </w:rPr>
              <w:t>栏次</w:t>
            </w:r>
          </w:p>
        </w:tc>
        <w:tc>
          <w:tcPr>
            <w:tcW w:w="792" w:type="pct"/>
            <w:gridSpan w:val="2"/>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864" w:type="pct"/>
            <w:gridSpan w:val="4"/>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18"/>
                <w:szCs w:val="18"/>
              </w:rPr>
            </w:pPr>
            <w:r>
              <w:rPr>
                <w:rFonts w:ascii="Times New Roman" w:hAnsi="Times New Roman" w:eastAsia="仿宋_GB2312"/>
                <w:kern w:val="0"/>
                <w:sz w:val="18"/>
                <w:szCs w:val="18"/>
              </w:rPr>
              <w:t>2</w:t>
            </w:r>
          </w:p>
        </w:tc>
        <w:tc>
          <w:tcPr>
            <w:tcW w:w="954" w:type="pct"/>
            <w:tcBorders>
              <w:top w:val="nil"/>
              <w:left w:val="nil"/>
              <w:bottom w:val="single" w:color="auto" w:sz="4" w:space="0"/>
              <w:right w:val="single" w:color="auto" w:sz="8" w:space="0"/>
            </w:tcBorders>
            <w:vAlign w:val="center"/>
          </w:tcPr>
          <w:p>
            <w:pPr>
              <w:widowControl/>
              <w:jc w:val="center"/>
              <w:rPr>
                <w:rFonts w:ascii="Times New Roman" w:hAnsi="Times New Roman" w:eastAsia="仿宋_GB2312"/>
                <w:kern w:val="0"/>
                <w:sz w:val="18"/>
                <w:szCs w:val="18"/>
              </w:rPr>
            </w:pPr>
            <w:r>
              <w:rPr>
                <w:rFonts w:ascii="Times New Roman" w:hAnsi="Times New Roman" w:eastAsia="仿宋_GB2312"/>
                <w:kern w:val="0"/>
                <w:sz w:val="18"/>
                <w:szCs w:val="18"/>
              </w:rPr>
              <w:t>3</w:t>
            </w: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1840" w:type="pct"/>
            <w:gridSpan w:val="5"/>
            <w:tcBorders>
              <w:top w:val="single" w:color="auto" w:sz="4" w:space="0"/>
              <w:left w:val="single" w:color="auto" w:sz="8" w:space="0"/>
              <w:bottom w:val="single" w:color="auto" w:sz="4" w:space="0"/>
              <w:right w:val="single" w:color="auto" w:sz="4" w:space="0"/>
            </w:tcBorders>
            <w:vAlign w:val="center"/>
          </w:tcPr>
          <w:p>
            <w:pPr>
              <w:widowControl/>
              <w:jc w:val="center"/>
              <w:rPr>
                <w:rFonts w:ascii="宋体"/>
                <w:kern w:val="0"/>
                <w:sz w:val="18"/>
                <w:szCs w:val="18"/>
              </w:rPr>
            </w:pPr>
            <w:r>
              <w:rPr>
                <w:rFonts w:ascii="宋体" w:hAnsi="宋体"/>
                <w:kern w:val="0"/>
                <w:sz w:val="18"/>
                <w:szCs w:val="18"/>
              </w:rPr>
              <w:t xml:space="preserve"> </w:t>
            </w:r>
          </w:p>
        </w:tc>
        <w:tc>
          <w:tcPr>
            <w:tcW w:w="792" w:type="pct"/>
            <w:gridSpan w:val="2"/>
            <w:tcBorders>
              <w:top w:val="nil"/>
              <w:left w:val="nil"/>
              <w:bottom w:val="single" w:color="auto" w:sz="4" w:space="0"/>
              <w:right w:val="single" w:color="auto" w:sz="4" w:space="0"/>
            </w:tcBorders>
            <w:vAlign w:val="center"/>
          </w:tcPr>
          <w:p>
            <w:pPr>
              <w:widowControl/>
              <w:jc w:val="right"/>
              <w:rPr>
                <w:rFonts w:ascii="宋体" w:cs="宋体"/>
                <w:b/>
                <w:kern w:val="0"/>
                <w:sz w:val="18"/>
                <w:szCs w:val="18"/>
              </w:rPr>
            </w:pPr>
            <w:r>
              <w:rPr>
                <w:rFonts w:ascii="宋体" w:hAnsi="宋体" w:cs="宋体"/>
                <w:b/>
                <w:kern w:val="0"/>
                <w:sz w:val="18"/>
                <w:szCs w:val="18"/>
              </w:rPr>
              <w:t>2,822.77</w:t>
            </w:r>
          </w:p>
        </w:tc>
        <w:tc>
          <w:tcPr>
            <w:tcW w:w="864" w:type="pct"/>
            <w:gridSpan w:val="4"/>
            <w:tcBorders>
              <w:top w:val="nil"/>
              <w:left w:val="nil"/>
              <w:bottom w:val="single" w:color="auto" w:sz="4" w:space="0"/>
              <w:right w:val="single" w:color="auto" w:sz="4" w:space="0"/>
            </w:tcBorders>
            <w:vAlign w:val="center"/>
          </w:tcPr>
          <w:p>
            <w:pPr>
              <w:widowControl/>
              <w:jc w:val="right"/>
              <w:rPr>
                <w:rFonts w:ascii="宋体" w:cs="宋体"/>
                <w:b/>
                <w:kern w:val="0"/>
                <w:sz w:val="18"/>
                <w:szCs w:val="18"/>
              </w:rPr>
            </w:pPr>
            <w:r>
              <w:rPr>
                <w:rFonts w:ascii="宋体" w:hAnsi="宋体" w:cs="宋体"/>
                <w:b/>
                <w:kern w:val="0"/>
                <w:sz w:val="18"/>
                <w:szCs w:val="18"/>
              </w:rPr>
              <w:t>1,459.87</w:t>
            </w:r>
          </w:p>
        </w:tc>
        <w:tc>
          <w:tcPr>
            <w:tcW w:w="954" w:type="pct"/>
            <w:tcBorders>
              <w:top w:val="nil"/>
              <w:left w:val="nil"/>
              <w:bottom w:val="single" w:color="auto" w:sz="4" w:space="0"/>
              <w:right w:val="single" w:color="auto" w:sz="8" w:space="0"/>
            </w:tcBorders>
            <w:vAlign w:val="center"/>
          </w:tcPr>
          <w:p>
            <w:pPr>
              <w:widowControl/>
              <w:jc w:val="right"/>
              <w:rPr>
                <w:rFonts w:ascii="宋体" w:cs="宋体"/>
                <w:b/>
                <w:kern w:val="0"/>
                <w:sz w:val="18"/>
                <w:szCs w:val="18"/>
              </w:rPr>
            </w:pPr>
            <w:r>
              <w:rPr>
                <w:rFonts w:ascii="宋体" w:hAnsi="宋体" w:cs="宋体"/>
                <w:b/>
                <w:kern w:val="0"/>
                <w:sz w:val="18"/>
                <w:szCs w:val="18"/>
              </w:rPr>
              <w:t>1,362.90</w:t>
            </w: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4" w:space="0"/>
              <w:right w:val="single" w:color="auto" w:sz="4" w:space="0"/>
            </w:tcBorders>
            <w:vAlign w:val="center"/>
          </w:tcPr>
          <w:p>
            <w:pPr>
              <w:rPr>
                <w:rFonts w:ascii="宋体" w:cs="Arial"/>
                <w:color w:val="000000"/>
                <w:sz w:val="18"/>
                <w:szCs w:val="18"/>
              </w:rPr>
            </w:pPr>
            <w:r>
              <w:rPr>
                <w:rFonts w:cs="Arial"/>
                <w:color w:val="000000"/>
                <w:sz w:val="18"/>
                <w:szCs w:val="18"/>
              </w:rPr>
              <w:t>201</w:t>
            </w:r>
          </w:p>
        </w:tc>
        <w:tc>
          <w:tcPr>
            <w:tcW w:w="1056" w:type="pct"/>
            <w:gridSpan w:val="3"/>
            <w:tcBorders>
              <w:top w:val="nil"/>
              <w:left w:val="nil"/>
              <w:bottom w:val="single" w:color="auto" w:sz="4" w:space="0"/>
              <w:right w:val="single" w:color="auto" w:sz="4" w:space="0"/>
            </w:tcBorders>
            <w:vAlign w:val="center"/>
          </w:tcPr>
          <w:p>
            <w:pPr>
              <w:rPr>
                <w:rFonts w:ascii="宋体" w:cs="Arial"/>
                <w:color w:val="000000"/>
                <w:sz w:val="18"/>
                <w:szCs w:val="18"/>
              </w:rPr>
            </w:pPr>
            <w:r>
              <w:rPr>
                <w:rFonts w:hint="eastAsia" w:cs="Arial"/>
                <w:color w:val="000000"/>
                <w:sz w:val="18"/>
                <w:szCs w:val="18"/>
              </w:rPr>
              <w:t>一般公共服务支出</w:t>
            </w:r>
          </w:p>
        </w:tc>
        <w:tc>
          <w:tcPr>
            <w:tcW w:w="792" w:type="pct"/>
            <w:gridSpan w:val="2"/>
            <w:tcBorders>
              <w:top w:val="nil"/>
              <w:left w:val="nil"/>
              <w:bottom w:val="single" w:color="auto" w:sz="4"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168.18</w:t>
            </w:r>
          </w:p>
        </w:tc>
        <w:tc>
          <w:tcPr>
            <w:tcW w:w="864" w:type="pct"/>
            <w:gridSpan w:val="4"/>
            <w:tcBorders>
              <w:top w:val="nil"/>
              <w:left w:val="nil"/>
              <w:bottom w:val="single" w:color="auto" w:sz="4"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168.18</w:t>
            </w:r>
          </w:p>
        </w:tc>
        <w:tc>
          <w:tcPr>
            <w:tcW w:w="954" w:type="pct"/>
            <w:tcBorders>
              <w:top w:val="nil"/>
              <w:left w:val="nil"/>
              <w:bottom w:val="single" w:color="auto" w:sz="4" w:space="0"/>
              <w:right w:val="single" w:color="auto" w:sz="8" w:space="0"/>
            </w:tcBorders>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4" w:space="0"/>
              <w:right w:val="single" w:color="auto" w:sz="4" w:space="0"/>
            </w:tcBorders>
            <w:vAlign w:val="center"/>
          </w:tcPr>
          <w:p>
            <w:pPr>
              <w:rPr>
                <w:rFonts w:ascii="宋体" w:cs="Arial"/>
                <w:color w:val="000000"/>
                <w:sz w:val="18"/>
                <w:szCs w:val="18"/>
              </w:rPr>
            </w:pPr>
            <w:r>
              <w:rPr>
                <w:rFonts w:cs="Arial"/>
                <w:color w:val="000000"/>
                <w:sz w:val="18"/>
                <w:szCs w:val="18"/>
              </w:rPr>
              <w:t>20107</w:t>
            </w:r>
          </w:p>
        </w:tc>
        <w:tc>
          <w:tcPr>
            <w:tcW w:w="1056" w:type="pct"/>
            <w:gridSpan w:val="3"/>
            <w:tcBorders>
              <w:top w:val="nil"/>
              <w:left w:val="nil"/>
              <w:bottom w:val="single" w:color="auto" w:sz="4" w:space="0"/>
              <w:right w:val="single" w:color="auto" w:sz="4" w:space="0"/>
            </w:tcBorders>
            <w:vAlign w:val="center"/>
          </w:tcPr>
          <w:p>
            <w:pPr>
              <w:rPr>
                <w:rFonts w:ascii="宋体" w:cs="Arial"/>
                <w:color w:val="000000"/>
                <w:sz w:val="18"/>
                <w:szCs w:val="18"/>
              </w:rPr>
            </w:pPr>
            <w:r>
              <w:rPr>
                <w:rFonts w:hint="eastAsia" w:cs="Arial"/>
                <w:color w:val="000000"/>
                <w:sz w:val="18"/>
                <w:szCs w:val="18"/>
              </w:rPr>
              <w:t>税收事务</w:t>
            </w:r>
          </w:p>
        </w:tc>
        <w:tc>
          <w:tcPr>
            <w:tcW w:w="792" w:type="pct"/>
            <w:gridSpan w:val="2"/>
            <w:tcBorders>
              <w:top w:val="nil"/>
              <w:left w:val="nil"/>
              <w:bottom w:val="single" w:color="auto" w:sz="4"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167.18</w:t>
            </w:r>
          </w:p>
        </w:tc>
        <w:tc>
          <w:tcPr>
            <w:tcW w:w="864" w:type="pct"/>
            <w:gridSpan w:val="4"/>
            <w:tcBorders>
              <w:top w:val="nil"/>
              <w:left w:val="nil"/>
              <w:bottom w:val="single" w:color="auto" w:sz="4"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167.18</w:t>
            </w:r>
          </w:p>
        </w:tc>
        <w:tc>
          <w:tcPr>
            <w:tcW w:w="954" w:type="pct"/>
            <w:tcBorders>
              <w:top w:val="nil"/>
              <w:left w:val="nil"/>
              <w:bottom w:val="single" w:color="auto" w:sz="4" w:space="0"/>
              <w:right w:val="single" w:color="auto" w:sz="8" w:space="0"/>
            </w:tcBorders>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4" w:space="0"/>
              <w:right w:val="single" w:color="auto" w:sz="4" w:space="0"/>
            </w:tcBorders>
            <w:vAlign w:val="center"/>
          </w:tcPr>
          <w:p>
            <w:pPr>
              <w:rPr>
                <w:rFonts w:ascii="宋体" w:cs="Arial"/>
                <w:color w:val="000000"/>
                <w:sz w:val="18"/>
                <w:szCs w:val="18"/>
              </w:rPr>
            </w:pPr>
            <w:r>
              <w:rPr>
                <w:rFonts w:cs="Arial"/>
                <w:color w:val="000000"/>
                <w:sz w:val="18"/>
                <w:szCs w:val="18"/>
              </w:rPr>
              <w:t>2010799</w:t>
            </w:r>
          </w:p>
        </w:tc>
        <w:tc>
          <w:tcPr>
            <w:tcW w:w="1056" w:type="pct"/>
            <w:gridSpan w:val="3"/>
            <w:tcBorders>
              <w:top w:val="nil"/>
              <w:left w:val="nil"/>
              <w:bottom w:val="single" w:color="auto" w:sz="4" w:space="0"/>
              <w:right w:val="single" w:color="auto" w:sz="4" w:space="0"/>
            </w:tcBorders>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其他税收事务支出</w:t>
            </w:r>
          </w:p>
        </w:tc>
        <w:tc>
          <w:tcPr>
            <w:tcW w:w="792" w:type="pct"/>
            <w:gridSpan w:val="2"/>
            <w:tcBorders>
              <w:top w:val="nil"/>
              <w:left w:val="nil"/>
              <w:bottom w:val="single" w:color="auto" w:sz="4"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167.18</w:t>
            </w:r>
          </w:p>
        </w:tc>
        <w:tc>
          <w:tcPr>
            <w:tcW w:w="864" w:type="pct"/>
            <w:gridSpan w:val="4"/>
            <w:tcBorders>
              <w:top w:val="nil"/>
              <w:left w:val="nil"/>
              <w:bottom w:val="single" w:color="auto" w:sz="4"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167.18</w:t>
            </w:r>
          </w:p>
        </w:tc>
        <w:tc>
          <w:tcPr>
            <w:tcW w:w="954" w:type="pct"/>
            <w:tcBorders>
              <w:top w:val="nil"/>
              <w:left w:val="nil"/>
              <w:bottom w:val="single" w:color="auto" w:sz="4" w:space="0"/>
              <w:right w:val="single" w:color="auto" w:sz="8" w:space="0"/>
            </w:tcBorders>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4" w:space="0"/>
              <w:right w:val="single" w:color="auto" w:sz="4" w:space="0"/>
            </w:tcBorders>
            <w:vAlign w:val="center"/>
          </w:tcPr>
          <w:p>
            <w:pPr>
              <w:rPr>
                <w:rFonts w:ascii="宋体" w:cs="Arial"/>
                <w:color w:val="000000"/>
                <w:sz w:val="18"/>
                <w:szCs w:val="18"/>
              </w:rPr>
            </w:pPr>
            <w:r>
              <w:rPr>
                <w:rFonts w:cs="Arial"/>
                <w:color w:val="000000"/>
                <w:sz w:val="18"/>
                <w:szCs w:val="18"/>
              </w:rPr>
              <w:t>20132</w:t>
            </w:r>
          </w:p>
        </w:tc>
        <w:tc>
          <w:tcPr>
            <w:tcW w:w="1056" w:type="pct"/>
            <w:gridSpan w:val="3"/>
            <w:tcBorders>
              <w:top w:val="nil"/>
              <w:left w:val="nil"/>
              <w:bottom w:val="single" w:color="auto" w:sz="4" w:space="0"/>
              <w:right w:val="single" w:color="auto" w:sz="4" w:space="0"/>
            </w:tcBorders>
            <w:vAlign w:val="center"/>
          </w:tcPr>
          <w:p>
            <w:pPr>
              <w:rPr>
                <w:rFonts w:ascii="宋体" w:cs="Arial"/>
                <w:color w:val="000000"/>
                <w:sz w:val="18"/>
                <w:szCs w:val="18"/>
              </w:rPr>
            </w:pPr>
            <w:r>
              <w:rPr>
                <w:rFonts w:hint="eastAsia" w:cs="Arial"/>
                <w:color w:val="000000"/>
                <w:sz w:val="18"/>
                <w:szCs w:val="18"/>
              </w:rPr>
              <w:t>组织事务</w:t>
            </w:r>
          </w:p>
        </w:tc>
        <w:tc>
          <w:tcPr>
            <w:tcW w:w="792" w:type="pct"/>
            <w:gridSpan w:val="2"/>
            <w:tcBorders>
              <w:top w:val="nil"/>
              <w:left w:val="nil"/>
              <w:bottom w:val="single" w:color="auto" w:sz="4"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1.00</w:t>
            </w:r>
          </w:p>
        </w:tc>
        <w:tc>
          <w:tcPr>
            <w:tcW w:w="864" w:type="pct"/>
            <w:gridSpan w:val="4"/>
            <w:tcBorders>
              <w:top w:val="nil"/>
              <w:left w:val="nil"/>
              <w:bottom w:val="single" w:color="auto" w:sz="4"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1.00</w:t>
            </w:r>
          </w:p>
        </w:tc>
        <w:tc>
          <w:tcPr>
            <w:tcW w:w="954" w:type="pct"/>
            <w:tcBorders>
              <w:top w:val="nil"/>
              <w:left w:val="nil"/>
              <w:bottom w:val="single" w:color="auto" w:sz="4" w:space="0"/>
              <w:right w:val="single" w:color="auto" w:sz="8" w:space="0"/>
            </w:tcBorders>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4" w:space="0"/>
              <w:right w:val="single" w:color="auto" w:sz="4" w:space="0"/>
            </w:tcBorders>
            <w:vAlign w:val="center"/>
          </w:tcPr>
          <w:p>
            <w:pPr>
              <w:rPr>
                <w:rFonts w:ascii="宋体" w:cs="Arial"/>
                <w:color w:val="000000"/>
                <w:sz w:val="18"/>
                <w:szCs w:val="18"/>
              </w:rPr>
            </w:pPr>
            <w:r>
              <w:rPr>
                <w:rFonts w:cs="Arial"/>
                <w:color w:val="000000"/>
                <w:sz w:val="18"/>
                <w:szCs w:val="18"/>
              </w:rPr>
              <w:t>2013299</w:t>
            </w:r>
          </w:p>
        </w:tc>
        <w:tc>
          <w:tcPr>
            <w:tcW w:w="1056" w:type="pct"/>
            <w:gridSpan w:val="3"/>
            <w:tcBorders>
              <w:top w:val="nil"/>
              <w:left w:val="nil"/>
              <w:bottom w:val="single" w:color="auto" w:sz="4" w:space="0"/>
              <w:right w:val="single" w:color="auto" w:sz="4" w:space="0"/>
            </w:tcBorders>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其他组织事务支出</w:t>
            </w:r>
          </w:p>
        </w:tc>
        <w:tc>
          <w:tcPr>
            <w:tcW w:w="792" w:type="pct"/>
            <w:gridSpan w:val="2"/>
            <w:tcBorders>
              <w:top w:val="nil"/>
              <w:left w:val="nil"/>
              <w:bottom w:val="single" w:color="auto" w:sz="4"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1.00</w:t>
            </w:r>
          </w:p>
        </w:tc>
        <w:tc>
          <w:tcPr>
            <w:tcW w:w="864" w:type="pct"/>
            <w:gridSpan w:val="4"/>
            <w:tcBorders>
              <w:top w:val="nil"/>
              <w:left w:val="nil"/>
              <w:bottom w:val="single" w:color="auto" w:sz="4"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1.00</w:t>
            </w:r>
          </w:p>
        </w:tc>
        <w:tc>
          <w:tcPr>
            <w:tcW w:w="954" w:type="pct"/>
            <w:tcBorders>
              <w:top w:val="nil"/>
              <w:left w:val="nil"/>
              <w:bottom w:val="single" w:color="auto" w:sz="4" w:space="0"/>
              <w:right w:val="single" w:color="auto" w:sz="8" w:space="0"/>
            </w:tcBorders>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4" w:space="0"/>
              <w:right w:val="single" w:color="auto" w:sz="4" w:space="0"/>
            </w:tcBorders>
            <w:vAlign w:val="center"/>
          </w:tcPr>
          <w:p>
            <w:pPr>
              <w:rPr>
                <w:rFonts w:ascii="宋体" w:cs="Arial"/>
                <w:color w:val="000000"/>
                <w:sz w:val="18"/>
                <w:szCs w:val="18"/>
              </w:rPr>
            </w:pPr>
            <w:r>
              <w:rPr>
                <w:rFonts w:cs="Arial"/>
                <w:color w:val="000000"/>
                <w:sz w:val="18"/>
                <w:szCs w:val="18"/>
              </w:rPr>
              <w:t>208</w:t>
            </w:r>
          </w:p>
        </w:tc>
        <w:tc>
          <w:tcPr>
            <w:tcW w:w="1056" w:type="pct"/>
            <w:gridSpan w:val="3"/>
            <w:tcBorders>
              <w:top w:val="nil"/>
              <w:left w:val="nil"/>
              <w:bottom w:val="single" w:color="auto" w:sz="4" w:space="0"/>
              <w:right w:val="single" w:color="auto" w:sz="4" w:space="0"/>
            </w:tcBorders>
            <w:vAlign w:val="center"/>
          </w:tcPr>
          <w:p>
            <w:pPr>
              <w:rPr>
                <w:rFonts w:ascii="宋体" w:cs="Arial"/>
                <w:color w:val="000000"/>
                <w:sz w:val="18"/>
                <w:szCs w:val="18"/>
              </w:rPr>
            </w:pPr>
            <w:r>
              <w:rPr>
                <w:rFonts w:hint="eastAsia" w:cs="Arial"/>
                <w:color w:val="000000"/>
                <w:sz w:val="18"/>
                <w:szCs w:val="18"/>
              </w:rPr>
              <w:t>社会保障和就业支出</w:t>
            </w:r>
          </w:p>
        </w:tc>
        <w:tc>
          <w:tcPr>
            <w:tcW w:w="792" w:type="pct"/>
            <w:gridSpan w:val="2"/>
            <w:tcBorders>
              <w:top w:val="nil"/>
              <w:left w:val="nil"/>
              <w:bottom w:val="single" w:color="auto" w:sz="4"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15.78</w:t>
            </w:r>
          </w:p>
        </w:tc>
        <w:tc>
          <w:tcPr>
            <w:tcW w:w="864" w:type="pct"/>
            <w:gridSpan w:val="4"/>
            <w:tcBorders>
              <w:top w:val="nil"/>
              <w:left w:val="nil"/>
              <w:bottom w:val="single" w:color="auto" w:sz="4"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15.78</w:t>
            </w:r>
          </w:p>
        </w:tc>
        <w:tc>
          <w:tcPr>
            <w:tcW w:w="954" w:type="pct"/>
            <w:tcBorders>
              <w:top w:val="nil"/>
              <w:left w:val="nil"/>
              <w:bottom w:val="single" w:color="auto" w:sz="4" w:space="0"/>
              <w:right w:val="single" w:color="auto" w:sz="8" w:space="0"/>
            </w:tcBorders>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20808</w:t>
            </w:r>
          </w:p>
        </w:tc>
        <w:tc>
          <w:tcPr>
            <w:tcW w:w="1056" w:type="pct"/>
            <w:gridSpan w:val="3"/>
            <w:tcBorders>
              <w:top w:val="nil"/>
              <w:left w:val="nil"/>
              <w:bottom w:val="single" w:color="auto" w:sz="8" w:space="0"/>
              <w:right w:val="single" w:color="auto" w:sz="4" w:space="0"/>
            </w:tcBorders>
            <w:vAlign w:val="center"/>
          </w:tcPr>
          <w:p>
            <w:pPr>
              <w:rPr>
                <w:rFonts w:ascii="宋体" w:cs="Arial"/>
                <w:color w:val="000000"/>
                <w:sz w:val="18"/>
                <w:szCs w:val="18"/>
              </w:rPr>
            </w:pPr>
            <w:r>
              <w:rPr>
                <w:rFonts w:hint="eastAsia" w:cs="Arial"/>
                <w:color w:val="000000"/>
                <w:sz w:val="18"/>
                <w:szCs w:val="18"/>
              </w:rPr>
              <w:t>抚恤</w:t>
            </w:r>
          </w:p>
        </w:tc>
        <w:tc>
          <w:tcPr>
            <w:tcW w:w="792" w:type="pct"/>
            <w:gridSpan w:val="2"/>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15.78</w:t>
            </w:r>
          </w:p>
        </w:tc>
        <w:tc>
          <w:tcPr>
            <w:tcW w:w="864" w:type="pct"/>
            <w:gridSpan w:val="4"/>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15.78</w:t>
            </w:r>
          </w:p>
        </w:tc>
        <w:tc>
          <w:tcPr>
            <w:tcW w:w="954" w:type="pct"/>
            <w:tcBorders>
              <w:top w:val="nil"/>
              <w:left w:val="nil"/>
              <w:bottom w:val="single" w:color="auto" w:sz="8" w:space="0"/>
              <w:right w:val="single" w:color="auto" w:sz="8" w:space="0"/>
            </w:tcBorders>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2080801</w:t>
            </w:r>
          </w:p>
        </w:tc>
        <w:tc>
          <w:tcPr>
            <w:tcW w:w="1056" w:type="pct"/>
            <w:gridSpan w:val="3"/>
            <w:tcBorders>
              <w:top w:val="nil"/>
              <w:left w:val="nil"/>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死亡抚恤</w:t>
            </w:r>
          </w:p>
        </w:tc>
        <w:tc>
          <w:tcPr>
            <w:tcW w:w="792" w:type="pct"/>
            <w:gridSpan w:val="2"/>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15.78</w:t>
            </w:r>
          </w:p>
        </w:tc>
        <w:tc>
          <w:tcPr>
            <w:tcW w:w="864" w:type="pct"/>
            <w:gridSpan w:val="4"/>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15.78</w:t>
            </w:r>
          </w:p>
        </w:tc>
        <w:tc>
          <w:tcPr>
            <w:tcW w:w="954" w:type="pct"/>
            <w:tcBorders>
              <w:top w:val="nil"/>
              <w:left w:val="nil"/>
              <w:bottom w:val="single" w:color="auto" w:sz="8" w:space="0"/>
              <w:right w:val="single" w:color="auto" w:sz="8" w:space="0"/>
            </w:tcBorders>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213</w:t>
            </w:r>
          </w:p>
        </w:tc>
        <w:tc>
          <w:tcPr>
            <w:tcW w:w="1056" w:type="pct"/>
            <w:gridSpan w:val="3"/>
            <w:tcBorders>
              <w:top w:val="nil"/>
              <w:left w:val="nil"/>
              <w:bottom w:val="single" w:color="auto" w:sz="8" w:space="0"/>
              <w:right w:val="single" w:color="auto" w:sz="4" w:space="0"/>
            </w:tcBorders>
            <w:vAlign w:val="center"/>
          </w:tcPr>
          <w:p>
            <w:pPr>
              <w:rPr>
                <w:rFonts w:ascii="宋体" w:cs="Arial"/>
                <w:color w:val="000000"/>
                <w:sz w:val="18"/>
                <w:szCs w:val="18"/>
              </w:rPr>
            </w:pPr>
            <w:r>
              <w:rPr>
                <w:rFonts w:hint="eastAsia" w:cs="Arial"/>
                <w:color w:val="000000"/>
                <w:sz w:val="18"/>
                <w:szCs w:val="18"/>
              </w:rPr>
              <w:t>农林水支出</w:t>
            </w:r>
          </w:p>
        </w:tc>
        <w:tc>
          <w:tcPr>
            <w:tcW w:w="792" w:type="pct"/>
            <w:gridSpan w:val="2"/>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183.96</w:t>
            </w:r>
          </w:p>
        </w:tc>
        <w:tc>
          <w:tcPr>
            <w:tcW w:w="864" w:type="pct"/>
            <w:gridSpan w:val="4"/>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7.24</w:t>
            </w:r>
          </w:p>
        </w:tc>
        <w:tc>
          <w:tcPr>
            <w:tcW w:w="954" w:type="pct"/>
            <w:tcBorders>
              <w:top w:val="nil"/>
              <w:left w:val="nil"/>
              <w:bottom w:val="single" w:color="auto" w:sz="8" w:space="0"/>
              <w:right w:val="single" w:color="auto" w:sz="8" w:space="0"/>
            </w:tcBorders>
            <w:vAlign w:val="center"/>
          </w:tcPr>
          <w:p>
            <w:pPr>
              <w:widowControl/>
              <w:jc w:val="right"/>
              <w:rPr>
                <w:rFonts w:ascii="宋体" w:cs="宋体"/>
                <w:kern w:val="0"/>
                <w:sz w:val="18"/>
                <w:szCs w:val="18"/>
              </w:rPr>
            </w:pPr>
            <w:r>
              <w:rPr>
                <w:rFonts w:ascii="宋体" w:hAnsi="宋体" w:cs="宋体"/>
                <w:kern w:val="0"/>
                <w:sz w:val="18"/>
                <w:szCs w:val="18"/>
              </w:rPr>
              <w:t>176.72</w:t>
            </w: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21301</w:t>
            </w:r>
          </w:p>
        </w:tc>
        <w:tc>
          <w:tcPr>
            <w:tcW w:w="1056" w:type="pct"/>
            <w:gridSpan w:val="3"/>
            <w:tcBorders>
              <w:top w:val="nil"/>
              <w:left w:val="nil"/>
              <w:bottom w:val="single" w:color="auto" w:sz="8" w:space="0"/>
              <w:right w:val="single" w:color="auto" w:sz="4" w:space="0"/>
            </w:tcBorders>
            <w:vAlign w:val="center"/>
          </w:tcPr>
          <w:p>
            <w:pPr>
              <w:rPr>
                <w:rFonts w:ascii="宋体" w:cs="Arial"/>
                <w:color w:val="000000"/>
                <w:sz w:val="18"/>
                <w:szCs w:val="18"/>
              </w:rPr>
            </w:pPr>
            <w:r>
              <w:rPr>
                <w:rFonts w:hint="eastAsia" w:cs="Arial"/>
                <w:color w:val="000000"/>
                <w:sz w:val="18"/>
                <w:szCs w:val="18"/>
              </w:rPr>
              <w:t>农业农村</w:t>
            </w:r>
          </w:p>
        </w:tc>
        <w:tc>
          <w:tcPr>
            <w:tcW w:w="792" w:type="pct"/>
            <w:gridSpan w:val="2"/>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28.50</w:t>
            </w:r>
          </w:p>
        </w:tc>
        <w:tc>
          <w:tcPr>
            <w:tcW w:w="864" w:type="pct"/>
            <w:gridSpan w:val="4"/>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7.24</w:t>
            </w:r>
          </w:p>
        </w:tc>
        <w:tc>
          <w:tcPr>
            <w:tcW w:w="954" w:type="pct"/>
            <w:tcBorders>
              <w:top w:val="nil"/>
              <w:left w:val="nil"/>
              <w:bottom w:val="single" w:color="auto" w:sz="8" w:space="0"/>
              <w:right w:val="single" w:color="auto" w:sz="8" w:space="0"/>
            </w:tcBorders>
            <w:vAlign w:val="center"/>
          </w:tcPr>
          <w:p>
            <w:pPr>
              <w:widowControl/>
              <w:jc w:val="right"/>
              <w:rPr>
                <w:rFonts w:ascii="宋体" w:cs="宋体"/>
                <w:kern w:val="0"/>
                <w:sz w:val="18"/>
                <w:szCs w:val="18"/>
              </w:rPr>
            </w:pPr>
            <w:r>
              <w:rPr>
                <w:rFonts w:ascii="宋体" w:hAnsi="宋体" w:cs="宋体"/>
                <w:kern w:val="0"/>
                <w:sz w:val="18"/>
                <w:szCs w:val="18"/>
              </w:rPr>
              <w:t>21.26</w:t>
            </w: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2130199</w:t>
            </w:r>
          </w:p>
        </w:tc>
        <w:tc>
          <w:tcPr>
            <w:tcW w:w="1056" w:type="pct"/>
            <w:gridSpan w:val="3"/>
            <w:tcBorders>
              <w:top w:val="nil"/>
              <w:left w:val="nil"/>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其他农业农村支出</w:t>
            </w:r>
          </w:p>
        </w:tc>
        <w:tc>
          <w:tcPr>
            <w:tcW w:w="792" w:type="pct"/>
            <w:gridSpan w:val="2"/>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28.50</w:t>
            </w:r>
          </w:p>
        </w:tc>
        <w:tc>
          <w:tcPr>
            <w:tcW w:w="864" w:type="pct"/>
            <w:gridSpan w:val="4"/>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7.24</w:t>
            </w:r>
          </w:p>
        </w:tc>
        <w:tc>
          <w:tcPr>
            <w:tcW w:w="954" w:type="pct"/>
            <w:tcBorders>
              <w:top w:val="nil"/>
              <w:left w:val="nil"/>
              <w:bottom w:val="single" w:color="auto" w:sz="8" w:space="0"/>
              <w:right w:val="single" w:color="auto" w:sz="8" w:space="0"/>
            </w:tcBorders>
            <w:vAlign w:val="center"/>
          </w:tcPr>
          <w:p>
            <w:pPr>
              <w:widowControl/>
              <w:jc w:val="right"/>
              <w:rPr>
                <w:rFonts w:ascii="宋体" w:cs="宋体"/>
                <w:kern w:val="0"/>
                <w:sz w:val="18"/>
                <w:szCs w:val="18"/>
              </w:rPr>
            </w:pPr>
            <w:r>
              <w:rPr>
                <w:rFonts w:ascii="宋体" w:hAnsi="宋体" w:cs="宋体"/>
                <w:kern w:val="0"/>
                <w:sz w:val="18"/>
                <w:szCs w:val="18"/>
              </w:rPr>
              <w:t>21.26</w:t>
            </w: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21307</w:t>
            </w:r>
          </w:p>
        </w:tc>
        <w:tc>
          <w:tcPr>
            <w:tcW w:w="1056" w:type="pct"/>
            <w:gridSpan w:val="3"/>
            <w:tcBorders>
              <w:top w:val="nil"/>
              <w:left w:val="nil"/>
              <w:bottom w:val="single" w:color="auto" w:sz="8" w:space="0"/>
              <w:right w:val="single" w:color="auto" w:sz="4" w:space="0"/>
            </w:tcBorders>
            <w:vAlign w:val="center"/>
          </w:tcPr>
          <w:p>
            <w:pPr>
              <w:rPr>
                <w:rFonts w:ascii="宋体" w:cs="Arial"/>
                <w:color w:val="000000"/>
                <w:sz w:val="18"/>
                <w:szCs w:val="18"/>
              </w:rPr>
            </w:pPr>
            <w:r>
              <w:rPr>
                <w:rFonts w:hint="eastAsia" w:cs="Arial"/>
                <w:color w:val="000000"/>
                <w:sz w:val="18"/>
                <w:szCs w:val="18"/>
              </w:rPr>
              <w:t>农村综合改革</w:t>
            </w:r>
          </w:p>
        </w:tc>
        <w:tc>
          <w:tcPr>
            <w:tcW w:w="792" w:type="pct"/>
            <w:gridSpan w:val="2"/>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155.46</w:t>
            </w:r>
          </w:p>
        </w:tc>
        <w:tc>
          <w:tcPr>
            <w:tcW w:w="864" w:type="pct"/>
            <w:gridSpan w:val="4"/>
            <w:tcBorders>
              <w:top w:val="nil"/>
              <w:left w:val="nil"/>
              <w:bottom w:val="single" w:color="auto" w:sz="8" w:space="0"/>
              <w:right w:val="single" w:color="auto" w:sz="4" w:space="0"/>
            </w:tcBorders>
            <w:vAlign w:val="center"/>
          </w:tcPr>
          <w:p>
            <w:pPr>
              <w:widowControl/>
              <w:jc w:val="right"/>
              <w:rPr>
                <w:rFonts w:ascii="宋体" w:cs="宋体"/>
                <w:kern w:val="0"/>
                <w:sz w:val="18"/>
                <w:szCs w:val="18"/>
              </w:rPr>
            </w:pPr>
          </w:p>
        </w:tc>
        <w:tc>
          <w:tcPr>
            <w:tcW w:w="954" w:type="pct"/>
            <w:tcBorders>
              <w:top w:val="nil"/>
              <w:left w:val="nil"/>
              <w:bottom w:val="single" w:color="auto" w:sz="8" w:space="0"/>
              <w:right w:val="single" w:color="auto" w:sz="8" w:space="0"/>
            </w:tcBorders>
            <w:vAlign w:val="center"/>
          </w:tcPr>
          <w:p>
            <w:pPr>
              <w:widowControl/>
              <w:jc w:val="right"/>
              <w:rPr>
                <w:rFonts w:ascii="宋体" w:cs="宋体"/>
                <w:kern w:val="0"/>
                <w:sz w:val="18"/>
                <w:szCs w:val="18"/>
              </w:rPr>
            </w:pPr>
            <w:r>
              <w:rPr>
                <w:rFonts w:ascii="宋体" w:hAnsi="宋体" w:cs="宋体"/>
                <w:kern w:val="0"/>
                <w:sz w:val="18"/>
                <w:szCs w:val="18"/>
              </w:rPr>
              <w:t>155.46</w:t>
            </w: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2130705</w:t>
            </w:r>
          </w:p>
        </w:tc>
        <w:tc>
          <w:tcPr>
            <w:tcW w:w="1056" w:type="pct"/>
            <w:gridSpan w:val="3"/>
            <w:tcBorders>
              <w:top w:val="nil"/>
              <w:left w:val="nil"/>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对村民委员会和村党支部的补助</w:t>
            </w:r>
          </w:p>
        </w:tc>
        <w:tc>
          <w:tcPr>
            <w:tcW w:w="792" w:type="pct"/>
            <w:gridSpan w:val="2"/>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155.46</w:t>
            </w:r>
          </w:p>
        </w:tc>
        <w:tc>
          <w:tcPr>
            <w:tcW w:w="864" w:type="pct"/>
            <w:gridSpan w:val="4"/>
            <w:tcBorders>
              <w:top w:val="nil"/>
              <w:left w:val="nil"/>
              <w:bottom w:val="single" w:color="auto" w:sz="8" w:space="0"/>
              <w:right w:val="single" w:color="auto" w:sz="4" w:space="0"/>
            </w:tcBorders>
            <w:vAlign w:val="center"/>
          </w:tcPr>
          <w:p>
            <w:pPr>
              <w:widowControl/>
              <w:jc w:val="right"/>
              <w:rPr>
                <w:rFonts w:ascii="宋体" w:cs="宋体"/>
                <w:kern w:val="0"/>
                <w:sz w:val="18"/>
                <w:szCs w:val="18"/>
              </w:rPr>
            </w:pPr>
          </w:p>
        </w:tc>
        <w:tc>
          <w:tcPr>
            <w:tcW w:w="954" w:type="pct"/>
            <w:tcBorders>
              <w:top w:val="nil"/>
              <w:left w:val="nil"/>
              <w:bottom w:val="single" w:color="auto" w:sz="8" w:space="0"/>
              <w:right w:val="single" w:color="auto" w:sz="8" w:space="0"/>
            </w:tcBorders>
            <w:vAlign w:val="center"/>
          </w:tcPr>
          <w:p>
            <w:pPr>
              <w:widowControl/>
              <w:jc w:val="right"/>
              <w:rPr>
                <w:rFonts w:ascii="宋体" w:cs="宋体"/>
                <w:kern w:val="0"/>
                <w:sz w:val="18"/>
                <w:szCs w:val="18"/>
              </w:rPr>
            </w:pPr>
            <w:r>
              <w:rPr>
                <w:rFonts w:ascii="宋体" w:hAnsi="宋体" w:cs="宋体"/>
                <w:kern w:val="0"/>
                <w:sz w:val="18"/>
                <w:szCs w:val="18"/>
              </w:rPr>
              <w:t>155.46</w:t>
            </w: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220</w:t>
            </w:r>
          </w:p>
        </w:tc>
        <w:tc>
          <w:tcPr>
            <w:tcW w:w="1056" w:type="pct"/>
            <w:gridSpan w:val="3"/>
            <w:tcBorders>
              <w:top w:val="nil"/>
              <w:left w:val="nil"/>
              <w:bottom w:val="single" w:color="auto" w:sz="8" w:space="0"/>
              <w:right w:val="single" w:color="auto" w:sz="4" w:space="0"/>
            </w:tcBorders>
            <w:vAlign w:val="center"/>
          </w:tcPr>
          <w:p>
            <w:pPr>
              <w:rPr>
                <w:rFonts w:ascii="宋体" w:cs="Arial"/>
                <w:color w:val="000000"/>
                <w:sz w:val="18"/>
                <w:szCs w:val="18"/>
              </w:rPr>
            </w:pPr>
            <w:r>
              <w:rPr>
                <w:rFonts w:hint="eastAsia" w:cs="Arial"/>
                <w:color w:val="000000"/>
                <w:sz w:val="18"/>
                <w:szCs w:val="18"/>
              </w:rPr>
              <w:t>自然资源海洋气象等支出</w:t>
            </w:r>
          </w:p>
        </w:tc>
        <w:tc>
          <w:tcPr>
            <w:tcW w:w="792" w:type="pct"/>
            <w:gridSpan w:val="2"/>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2,328.85</w:t>
            </w:r>
          </w:p>
        </w:tc>
        <w:tc>
          <w:tcPr>
            <w:tcW w:w="864" w:type="pct"/>
            <w:gridSpan w:val="4"/>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1,174.67</w:t>
            </w:r>
          </w:p>
        </w:tc>
        <w:tc>
          <w:tcPr>
            <w:tcW w:w="954" w:type="pct"/>
            <w:tcBorders>
              <w:top w:val="nil"/>
              <w:left w:val="nil"/>
              <w:bottom w:val="single" w:color="auto" w:sz="8" w:space="0"/>
              <w:right w:val="single" w:color="auto" w:sz="8" w:space="0"/>
            </w:tcBorders>
            <w:vAlign w:val="center"/>
          </w:tcPr>
          <w:p>
            <w:pPr>
              <w:widowControl/>
              <w:jc w:val="right"/>
              <w:rPr>
                <w:rFonts w:ascii="宋体" w:cs="宋体"/>
                <w:kern w:val="0"/>
                <w:sz w:val="18"/>
                <w:szCs w:val="18"/>
              </w:rPr>
            </w:pPr>
            <w:r>
              <w:rPr>
                <w:rFonts w:ascii="宋体" w:hAnsi="宋体" w:cs="宋体"/>
                <w:kern w:val="0"/>
                <w:sz w:val="18"/>
                <w:szCs w:val="18"/>
              </w:rPr>
              <w:t>1,154.18</w:t>
            </w: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22001</w:t>
            </w:r>
          </w:p>
        </w:tc>
        <w:tc>
          <w:tcPr>
            <w:tcW w:w="1056" w:type="pct"/>
            <w:gridSpan w:val="3"/>
            <w:tcBorders>
              <w:top w:val="nil"/>
              <w:left w:val="nil"/>
              <w:bottom w:val="single" w:color="auto" w:sz="8" w:space="0"/>
              <w:right w:val="single" w:color="auto" w:sz="4" w:space="0"/>
            </w:tcBorders>
            <w:vAlign w:val="center"/>
          </w:tcPr>
          <w:p>
            <w:pPr>
              <w:rPr>
                <w:rFonts w:ascii="宋体" w:cs="Arial"/>
                <w:color w:val="000000"/>
                <w:sz w:val="18"/>
                <w:szCs w:val="18"/>
              </w:rPr>
            </w:pPr>
            <w:r>
              <w:rPr>
                <w:rFonts w:hint="eastAsia" w:cs="Arial"/>
                <w:color w:val="000000"/>
                <w:sz w:val="18"/>
                <w:szCs w:val="18"/>
              </w:rPr>
              <w:t>自然资源事务</w:t>
            </w:r>
          </w:p>
        </w:tc>
        <w:tc>
          <w:tcPr>
            <w:tcW w:w="792" w:type="pct"/>
            <w:gridSpan w:val="2"/>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2,328.85</w:t>
            </w:r>
          </w:p>
        </w:tc>
        <w:tc>
          <w:tcPr>
            <w:tcW w:w="864" w:type="pct"/>
            <w:gridSpan w:val="4"/>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1,174.67</w:t>
            </w:r>
          </w:p>
        </w:tc>
        <w:tc>
          <w:tcPr>
            <w:tcW w:w="954" w:type="pct"/>
            <w:tcBorders>
              <w:top w:val="nil"/>
              <w:left w:val="nil"/>
              <w:bottom w:val="single" w:color="auto" w:sz="8" w:space="0"/>
              <w:right w:val="single" w:color="auto" w:sz="8" w:space="0"/>
            </w:tcBorders>
            <w:vAlign w:val="center"/>
          </w:tcPr>
          <w:p>
            <w:pPr>
              <w:widowControl/>
              <w:jc w:val="right"/>
              <w:rPr>
                <w:rFonts w:ascii="宋体" w:cs="宋体"/>
                <w:kern w:val="0"/>
                <w:sz w:val="18"/>
                <w:szCs w:val="18"/>
              </w:rPr>
            </w:pPr>
            <w:r>
              <w:rPr>
                <w:rFonts w:ascii="宋体" w:hAnsi="宋体" w:cs="宋体"/>
                <w:kern w:val="0"/>
                <w:sz w:val="18"/>
                <w:szCs w:val="18"/>
              </w:rPr>
              <w:t>1,154.18</w:t>
            </w: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2200101</w:t>
            </w:r>
          </w:p>
        </w:tc>
        <w:tc>
          <w:tcPr>
            <w:tcW w:w="1056" w:type="pct"/>
            <w:gridSpan w:val="3"/>
            <w:tcBorders>
              <w:top w:val="nil"/>
              <w:left w:val="nil"/>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行政运行</w:t>
            </w:r>
          </w:p>
        </w:tc>
        <w:tc>
          <w:tcPr>
            <w:tcW w:w="792" w:type="pct"/>
            <w:gridSpan w:val="2"/>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1,174.67</w:t>
            </w:r>
          </w:p>
        </w:tc>
        <w:tc>
          <w:tcPr>
            <w:tcW w:w="864" w:type="pct"/>
            <w:gridSpan w:val="4"/>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1,174.67</w:t>
            </w:r>
          </w:p>
        </w:tc>
        <w:tc>
          <w:tcPr>
            <w:tcW w:w="954" w:type="pct"/>
            <w:tcBorders>
              <w:top w:val="nil"/>
              <w:left w:val="nil"/>
              <w:bottom w:val="single" w:color="auto" w:sz="8" w:space="0"/>
              <w:right w:val="single" w:color="auto" w:sz="8" w:space="0"/>
            </w:tcBorders>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2200102</w:t>
            </w:r>
          </w:p>
        </w:tc>
        <w:tc>
          <w:tcPr>
            <w:tcW w:w="1056" w:type="pct"/>
            <w:gridSpan w:val="3"/>
            <w:tcBorders>
              <w:top w:val="nil"/>
              <w:left w:val="nil"/>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一般行政管理事务</w:t>
            </w:r>
          </w:p>
        </w:tc>
        <w:tc>
          <w:tcPr>
            <w:tcW w:w="792" w:type="pct"/>
            <w:gridSpan w:val="2"/>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378.63</w:t>
            </w:r>
          </w:p>
        </w:tc>
        <w:tc>
          <w:tcPr>
            <w:tcW w:w="864" w:type="pct"/>
            <w:gridSpan w:val="4"/>
            <w:tcBorders>
              <w:top w:val="nil"/>
              <w:left w:val="nil"/>
              <w:bottom w:val="single" w:color="auto" w:sz="8" w:space="0"/>
              <w:right w:val="single" w:color="auto" w:sz="4" w:space="0"/>
            </w:tcBorders>
            <w:vAlign w:val="center"/>
          </w:tcPr>
          <w:p>
            <w:pPr>
              <w:widowControl/>
              <w:jc w:val="right"/>
              <w:rPr>
                <w:rFonts w:ascii="宋体" w:cs="宋体"/>
                <w:kern w:val="0"/>
                <w:sz w:val="18"/>
                <w:szCs w:val="18"/>
              </w:rPr>
            </w:pPr>
          </w:p>
        </w:tc>
        <w:tc>
          <w:tcPr>
            <w:tcW w:w="954" w:type="pct"/>
            <w:tcBorders>
              <w:top w:val="nil"/>
              <w:left w:val="nil"/>
              <w:bottom w:val="single" w:color="auto" w:sz="8" w:space="0"/>
              <w:right w:val="single" w:color="auto" w:sz="8" w:space="0"/>
            </w:tcBorders>
            <w:vAlign w:val="center"/>
          </w:tcPr>
          <w:p>
            <w:pPr>
              <w:widowControl/>
              <w:jc w:val="right"/>
              <w:rPr>
                <w:rFonts w:ascii="宋体" w:cs="宋体"/>
                <w:kern w:val="0"/>
                <w:sz w:val="18"/>
                <w:szCs w:val="18"/>
              </w:rPr>
            </w:pPr>
            <w:r>
              <w:rPr>
                <w:rFonts w:ascii="宋体" w:hAnsi="宋体" w:cs="宋体"/>
                <w:kern w:val="0"/>
                <w:sz w:val="18"/>
                <w:szCs w:val="18"/>
              </w:rPr>
              <w:t>378.63</w:t>
            </w: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4" w:space="0"/>
              <w:right w:val="single" w:color="auto" w:sz="4" w:space="0"/>
            </w:tcBorders>
            <w:vAlign w:val="center"/>
          </w:tcPr>
          <w:p>
            <w:pPr>
              <w:rPr>
                <w:rFonts w:ascii="宋体" w:cs="Arial"/>
                <w:color w:val="000000"/>
                <w:sz w:val="18"/>
                <w:szCs w:val="18"/>
              </w:rPr>
            </w:pPr>
            <w:r>
              <w:rPr>
                <w:rFonts w:cs="Arial"/>
                <w:color w:val="000000"/>
                <w:sz w:val="18"/>
                <w:szCs w:val="18"/>
              </w:rPr>
              <w:t>2200109</w:t>
            </w:r>
          </w:p>
        </w:tc>
        <w:tc>
          <w:tcPr>
            <w:tcW w:w="1056" w:type="pct"/>
            <w:gridSpan w:val="3"/>
            <w:tcBorders>
              <w:top w:val="nil"/>
              <w:left w:val="nil"/>
              <w:bottom w:val="single" w:color="auto" w:sz="4" w:space="0"/>
              <w:right w:val="single" w:color="auto" w:sz="4" w:space="0"/>
            </w:tcBorders>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自然资源调查与确权登记</w:t>
            </w:r>
          </w:p>
        </w:tc>
        <w:tc>
          <w:tcPr>
            <w:tcW w:w="792" w:type="pct"/>
            <w:gridSpan w:val="2"/>
            <w:tcBorders>
              <w:top w:val="nil"/>
              <w:left w:val="nil"/>
              <w:bottom w:val="single" w:color="auto" w:sz="4"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205.55</w:t>
            </w:r>
          </w:p>
        </w:tc>
        <w:tc>
          <w:tcPr>
            <w:tcW w:w="864" w:type="pct"/>
            <w:gridSpan w:val="4"/>
            <w:tcBorders>
              <w:top w:val="nil"/>
              <w:left w:val="nil"/>
              <w:bottom w:val="single" w:color="auto" w:sz="4" w:space="0"/>
              <w:right w:val="single" w:color="auto" w:sz="4" w:space="0"/>
            </w:tcBorders>
            <w:vAlign w:val="center"/>
          </w:tcPr>
          <w:p>
            <w:pPr>
              <w:widowControl/>
              <w:jc w:val="right"/>
              <w:rPr>
                <w:rFonts w:ascii="宋体" w:cs="宋体"/>
                <w:kern w:val="0"/>
                <w:sz w:val="18"/>
                <w:szCs w:val="18"/>
              </w:rPr>
            </w:pPr>
          </w:p>
        </w:tc>
        <w:tc>
          <w:tcPr>
            <w:tcW w:w="954" w:type="pct"/>
            <w:tcBorders>
              <w:top w:val="nil"/>
              <w:left w:val="nil"/>
              <w:bottom w:val="single" w:color="auto" w:sz="4" w:space="0"/>
              <w:right w:val="single" w:color="auto" w:sz="8" w:space="0"/>
            </w:tcBorders>
            <w:vAlign w:val="center"/>
          </w:tcPr>
          <w:p>
            <w:pPr>
              <w:widowControl/>
              <w:jc w:val="right"/>
              <w:rPr>
                <w:rFonts w:ascii="宋体" w:cs="宋体"/>
                <w:kern w:val="0"/>
                <w:sz w:val="18"/>
                <w:szCs w:val="18"/>
              </w:rPr>
            </w:pPr>
            <w:r>
              <w:rPr>
                <w:rFonts w:ascii="宋体" w:hAnsi="宋体" w:cs="宋体"/>
                <w:kern w:val="0"/>
                <w:sz w:val="18"/>
                <w:szCs w:val="18"/>
              </w:rPr>
              <w:t>205.55</w:t>
            </w: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18"/>
                <w:szCs w:val="18"/>
              </w:rPr>
            </w:pPr>
            <w:r>
              <w:rPr>
                <w:rFonts w:cs="Arial"/>
                <w:color w:val="000000"/>
                <w:sz w:val="18"/>
                <w:szCs w:val="18"/>
              </w:rPr>
              <w:t>2200199</w:t>
            </w:r>
          </w:p>
        </w:tc>
        <w:tc>
          <w:tcPr>
            <w:tcW w:w="1056" w:type="pct"/>
            <w:gridSpan w:val="3"/>
            <w:tcBorders>
              <w:top w:val="single" w:color="auto" w:sz="4" w:space="0"/>
              <w:left w:val="nil"/>
              <w:bottom w:val="single" w:color="auto" w:sz="4" w:space="0"/>
              <w:right w:val="single" w:color="auto" w:sz="4" w:space="0"/>
            </w:tcBorders>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其他自然资源事务支出</w:t>
            </w:r>
          </w:p>
        </w:tc>
        <w:tc>
          <w:tcPr>
            <w:tcW w:w="792" w:type="pct"/>
            <w:gridSpan w:val="2"/>
            <w:tcBorders>
              <w:top w:val="single" w:color="auto" w:sz="4" w:space="0"/>
              <w:left w:val="nil"/>
              <w:bottom w:val="single" w:color="auto" w:sz="4"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570.00</w:t>
            </w:r>
          </w:p>
        </w:tc>
        <w:tc>
          <w:tcPr>
            <w:tcW w:w="864" w:type="pct"/>
            <w:gridSpan w:val="4"/>
            <w:tcBorders>
              <w:top w:val="single" w:color="auto" w:sz="4" w:space="0"/>
              <w:left w:val="nil"/>
              <w:bottom w:val="single" w:color="auto" w:sz="4" w:space="0"/>
              <w:right w:val="single" w:color="auto" w:sz="4" w:space="0"/>
            </w:tcBorders>
            <w:vAlign w:val="center"/>
          </w:tcPr>
          <w:p>
            <w:pPr>
              <w:widowControl/>
              <w:jc w:val="right"/>
              <w:rPr>
                <w:rFonts w:ascii="宋体" w:cs="宋体"/>
                <w:kern w:val="0"/>
                <w:sz w:val="18"/>
                <w:szCs w:val="18"/>
              </w:rPr>
            </w:pPr>
          </w:p>
        </w:tc>
        <w:tc>
          <w:tcPr>
            <w:tcW w:w="954" w:type="pct"/>
            <w:tcBorders>
              <w:top w:val="single" w:color="auto" w:sz="4" w:space="0"/>
              <w:left w:val="nil"/>
              <w:bottom w:val="single" w:color="auto" w:sz="4"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570.00</w:t>
            </w: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221</w:t>
            </w:r>
          </w:p>
        </w:tc>
        <w:tc>
          <w:tcPr>
            <w:tcW w:w="1056" w:type="pct"/>
            <w:gridSpan w:val="3"/>
            <w:tcBorders>
              <w:top w:val="single" w:color="auto" w:sz="4" w:space="0"/>
              <w:left w:val="nil"/>
              <w:bottom w:val="single" w:color="auto" w:sz="8" w:space="0"/>
              <w:right w:val="single" w:color="auto" w:sz="4" w:space="0"/>
            </w:tcBorders>
            <w:vAlign w:val="center"/>
          </w:tcPr>
          <w:p>
            <w:pPr>
              <w:rPr>
                <w:rFonts w:ascii="宋体" w:cs="Arial"/>
                <w:color w:val="000000"/>
                <w:sz w:val="18"/>
                <w:szCs w:val="18"/>
              </w:rPr>
            </w:pPr>
            <w:r>
              <w:rPr>
                <w:rFonts w:hint="eastAsia" w:cs="Arial"/>
                <w:color w:val="000000"/>
                <w:sz w:val="18"/>
                <w:szCs w:val="18"/>
              </w:rPr>
              <w:t>住房保障支出</w:t>
            </w:r>
          </w:p>
        </w:tc>
        <w:tc>
          <w:tcPr>
            <w:tcW w:w="792" w:type="pct"/>
            <w:gridSpan w:val="2"/>
            <w:tcBorders>
              <w:top w:val="single" w:color="auto" w:sz="4" w:space="0"/>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93.99</w:t>
            </w:r>
          </w:p>
        </w:tc>
        <w:tc>
          <w:tcPr>
            <w:tcW w:w="864" w:type="pct"/>
            <w:gridSpan w:val="4"/>
            <w:tcBorders>
              <w:top w:val="single" w:color="auto" w:sz="4" w:space="0"/>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93.99</w:t>
            </w:r>
          </w:p>
        </w:tc>
        <w:tc>
          <w:tcPr>
            <w:tcW w:w="954" w:type="pct"/>
            <w:tcBorders>
              <w:top w:val="single" w:color="auto" w:sz="4" w:space="0"/>
              <w:left w:val="nil"/>
              <w:bottom w:val="single" w:color="auto" w:sz="8" w:space="0"/>
              <w:right w:val="single" w:color="auto" w:sz="8" w:space="0"/>
            </w:tcBorders>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22102</w:t>
            </w:r>
          </w:p>
        </w:tc>
        <w:tc>
          <w:tcPr>
            <w:tcW w:w="1056" w:type="pct"/>
            <w:gridSpan w:val="3"/>
            <w:tcBorders>
              <w:top w:val="nil"/>
              <w:left w:val="nil"/>
              <w:bottom w:val="single" w:color="auto" w:sz="8" w:space="0"/>
              <w:right w:val="single" w:color="auto" w:sz="4" w:space="0"/>
            </w:tcBorders>
            <w:vAlign w:val="center"/>
          </w:tcPr>
          <w:p>
            <w:pPr>
              <w:rPr>
                <w:rFonts w:ascii="宋体" w:cs="Arial"/>
                <w:color w:val="000000"/>
                <w:sz w:val="18"/>
                <w:szCs w:val="18"/>
              </w:rPr>
            </w:pPr>
            <w:r>
              <w:rPr>
                <w:rFonts w:hint="eastAsia" w:cs="Arial"/>
                <w:color w:val="000000"/>
                <w:sz w:val="18"/>
                <w:szCs w:val="18"/>
              </w:rPr>
              <w:t>住房改革支出</w:t>
            </w:r>
          </w:p>
        </w:tc>
        <w:tc>
          <w:tcPr>
            <w:tcW w:w="792" w:type="pct"/>
            <w:gridSpan w:val="2"/>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93.99</w:t>
            </w:r>
          </w:p>
        </w:tc>
        <w:tc>
          <w:tcPr>
            <w:tcW w:w="864" w:type="pct"/>
            <w:gridSpan w:val="4"/>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93.99</w:t>
            </w:r>
          </w:p>
        </w:tc>
        <w:tc>
          <w:tcPr>
            <w:tcW w:w="954" w:type="pct"/>
            <w:tcBorders>
              <w:top w:val="nil"/>
              <w:left w:val="nil"/>
              <w:bottom w:val="single" w:color="auto" w:sz="8" w:space="0"/>
              <w:right w:val="single" w:color="auto" w:sz="8" w:space="0"/>
            </w:tcBorders>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2210201</w:t>
            </w:r>
          </w:p>
        </w:tc>
        <w:tc>
          <w:tcPr>
            <w:tcW w:w="1056" w:type="pct"/>
            <w:gridSpan w:val="3"/>
            <w:tcBorders>
              <w:top w:val="nil"/>
              <w:left w:val="nil"/>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住房公积金</w:t>
            </w:r>
          </w:p>
        </w:tc>
        <w:tc>
          <w:tcPr>
            <w:tcW w:w="792" w:type="pct"/>
            <w:gridSpan w:val="2"/>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93.99</w:t>
            </w:r>
          </w:p>
        </w:tc>
        <w:tc>
          <w:tcPr>
            <w:tcW w:w="864" w:type="pct"/>
            <w:gridSpan w:val="4"/>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93.99</w:t>
            </w:r>
          </w:p>
        </w:tc>
        <w:tc>
          <w:tcPr>
            <w:tcW w:w="954" w:type="pct"/>
            <w:tcBorders>
              <w:top w:val="nil"/>
              <w:left w:val="nil"/>
              <w:bottom w:val="single" w:color="auto" w:sz="8" w:space="0"/>
              <w:right w:val="single" w:color="auto" w:sz="8" w:space="0"/>
            </w:tcBorders>
            <w:vAlign w:val="center"/>
          </w:tcPr>
          <w:p>
            <w:pPr>
              <w:widowControl/>
              <w:jc w:val="right"/>
              <w:rPr>
                <w:rFonts w:ascii="宋体" w:cs="宋体"/>
                <w:kern w:val="0"/>
                <w:sz w:val="18"/>
                <w:szCs w:val="18"/>
              </w:rPr>
            </w:pP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224</w:t>
            </w:r>
          </w:p>
        </w:tc>
        <w:tc>
          <w:tcPr>
            <w:tcW w:w="1056" w:type="pct"/>
            <w:gridSpan w:val="3"/>
            <w:tcBorders>
              <w:top w:val="nil"/>
              <w:left w:val="nil"/>
              <w:bottom w:val="single" w:color="auto" w:sz="8" w:space="0"/>
              <w:right w:val="single" w:color="auto" w:sz="4" w:space="0"/>
            </w:tcBorders>
            <w:vAlign w:val="center"/>
          </w:tcPr>
          <w:p>
            <w:pPr>
              <w:rPr>
                <w:rFonts w:ascii="宋体" w:cs="Arial"/>
                <w:color w:val="000000"/>
                <w:sz w:val="18"/>
                <w:szCs w:val="18"/>
              </w:rPr>
            </w:pPr>
            <w:r>
              <w:rPr>
                <w:rFonts w:hint="eastAsia" w:cs="Arial"/>
                <w:color w:val="000000"/>
                <w:sz w:val="18"/>
                <w:szCs w:val="18"/>
              </w:rPr>
              <w:t>灾害防治及应急管理支出</w:t>
            </w:r>
          </w:p>
        </w:tc>
        <w:tc>
          <w:tcPr>
            <w:tcW w:w="792" w:type="pct"/>
            <w:gridSpan w:val="2"/>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32.00</w:t>
            </w:r>
          </w:p>
        </w:tc>
        <w:tc>
          <w:tcPr>
            <w:tcW w:w="864" w:type="pct"/>
            <w:gridSpan w:val="4"/>
            <w:tcBorders>
              <w:top w:val="nil"/>
              <w:left w:val="nil"/>
              <w:bottom w:val="single" w:color="auto" w:sz="8" w:space="0"/>
              <w:right w:val="single" w:color="auto" w:sz="4" w:space="0"/>
            </w:tcBorders>
            <w:vAlign w:val="center"/>
          </w:tcPr>
          <w:p>
            <w:pPr>
              <w:widowControl/>
              <w:jc w:val="right"/>
              <w:rPr>
                <w:rFonts w:ascii="宋体" w:cs="宋体"/>
                <w:kern w:val="0"/>
                <w:sz w:val="18"/>
                <w:szCs w:val="18"/>
              </w:rPr>
            </w:pPr>
          </w:p>
        </w:tc>
        <w:tc>
          <w:tcPr>
            <w:tcW w:w="954" w:type="pct"/>
            <w:tcBorders>
              <w:top w:val="nil"/>
              <w:left w:val="nil"/>
              <w:bottom w:val="single" w:color="auto" w:sz="8" w:space="0"/>
              <w:right w:val="single" w:color="auto" w:sz="8" w:space="0"/>
            </w:tcBorders>
            <w:vAlign w:val="center"/>
          </w:tcPr>
          <w:p>
            <w:pPr>
              <w:widowControl/>
              <w:jc w:val="right"/>
              <w:rPr>
                <w:rFonts w:ascii="宋体" w:cs="宋体"/>
                <w:kern w:val="0"/>
                <w:sz w:val="18"/>
                <w:szCs w:val="18"/>
              </w:rPr>
            </w:pPr>
            <w:r>
              <w:rPr>
                <w:rFonts w:ascii="宋体" w:hAnsi="宋体" w:cs="宋体"/>
                <w:kern w:val="0"/>
                <w:sz w:val="18"/>
                <w:szCs w:val="18"/>
              </w:rPr>
              <w:t>32.00</w:t>
            </w: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22406</w:t>
            </w:r>
          </w:p>
        </w:tc>
        <w:tc>
          <w:tcPr>
            <w:tcW w:w="1056" w:type="pct"/>
            <w:gridSpan w:val="3"/>
            <w:tcBorders>
              <w:top w:val="nil"/>
              <w:left w:val="nil"/>
              <w:bottom w:val="single" w:color="auto" w:sz="8" w:space="0"/>
              <w:right w:val="single" w:color="auto" w:sz="4" w:space="0"/>
            </w:tcBorders>
            <w:vAlign w:val="center"/>
          </w:tcPr>
          <w:p>
            <w:pPr>
              <w:rPr>
                <w:rFonts w:ascii="宋体" w:cs="Arial"/>
                <w:color w:val="000000"/>
                <w:sz w:val="18"/>
                <w:szCs w:val="18"/>
              </w:rPr>
            </w:pPr>
            <w:r>
              <w:rPr>
                <w:rFonts w:hint="eastAsia" w:cs="Arial"/>
                <w:color w:val="000000"/>
                <w:sz w:val="18"/>
                <w:szCs w:val="18"/>
              </w:rPr>
              <w:t>自然灾害防治</w:t>
            </w:r>
          </w:p>
        </w:tc>
        <w:tc>
          <w:tcPr>
            <w:tcW w:w="792" w:type="pct"/>
            <w:gridSpan w:val="2"/>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32.00</w:t>
            </w:r>
          </w:p>
        </w:tc>
        <w:tc>
          <w:tcPr>
            <w:tcW w:w="864" w:type="pct"/>
            <w:gridSpan w:val="4"/>
            <w:tcBorders>
              <w:top w:val="nil"/>
              <w:left w:val="nil"/>
              <w:bottom w:val="single" w:color="auto" w:sz="8" w:space="0"/>
              <w:right w:val="single" w:color="auto" w:sz="4" w:space="0"/>
            </w:tcBorders>
            <w:vAlign w:val="center"/>
          </w:tcPr>
          <w:p>
            <w:pPr>
              <w:widowControl/>
              <w:jc w:val="right"/>
              <w:rPr>
                <w:rFonts w:ascii="宋体" w:cs="宋体"/>
                <w:kern w:val="0"/>
                <w:sz w:val="18"/>
                <w:szCs w:val="18"/>
              </w:rPr>
            </w:pPr>
          </w:p>
        </w:tc>
        <w:tc>
          <w:tcPr>
            <w:tcW w:w="954" w:type="pct"/>
            <w:tcBorders>
              <w:top w:val="nil"/>
              <w:left w:val="nil"/>
              <w:bottom w:val="single" w:color="auto" w:sz="8" w:space="0"/>
              <w:right w:val="single" w:color="auto" w:sz="8" w:space="0"/>
            </w:tcBorders>
            <w:vAlign w:val="center"/>
          </w:tcPr>
          <w:p>
            <w:pPr>
              <w:widowControl/>
              <w:jc w:val="right"/>
              <w:rPr>
                <w:rFonts w:ascii="宋体" w:cs="宋体"/>
                <w:kern w:val="0"/>
                <w:sz w:val="18"/>
                <w:szCs w:val="18"/>
              </w:rPr>
            </w:pPr>
            <w:r>
              <w:rPr>
                <w:rFonts w:ascii="宋体" w:hAnsi="宋体" w:cs="宋体"/>
                <w:kern w:val="0"/>
                <w:sz w:val="18"/>
                <w:szCs w:val="18"/>
              </w:rPr>
              <w:t>32.00</w:t>
            </w: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784" w:type="pct"/>
            <w:gridSpan w:val="2"/>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2240601</w:t>
            </w:r>
          </w:p>
        </w:tc>
        <w:tc>
          <w:tcPr>
            <w:tcW w:w="1056" w:type="pct"/>
            <w:gridSpan w:val="3"/>
            <w:tcBorders>
              <w:top w:val="nil"/>
              <w:left w:val="nil"/>
              <w:bottom w:val="single" w:color="auto" w:sz="8" w:space="0"/>
              <w:right w:val="single" w:color="auto" w:sz="4" w:space="0"/>
            </w:tcBorders>
            <w:vAlign w:val="center"/>
          </w:tcPr>
          <w:p>
            <w:pPr>
              <w:rPr>
                <w:rFonts w:ascii="宋体" w:cs="Arial"/>
                <w:color w:val="000000"/>
                <w:sz w:val="18"/>
                <w:szCs w:val="18"/>
              </w:rPr>
            </w:pPr>
            <w:r>
              <w:rPr>
                <w:rFonts w:cs="Arial"/>
                <w:color w:val="000000"/>
                <w:sz w:val="18"/>
                <w:szCs w:val="18"/>
              </w:rPr>
              <w:t xml:space="preserve">  </w:t>
            </w:r>
            <w:r>
              <w:rPr>
                <w:rFonts w:hint="eastAsia" w:cs="Arial"/>
                <w:color w:val="000000"/>
                <w:sz w:val="18"/>
                <w:szCs w:val="18"/>
              </w:rPr>
              <w:t>地质灾害防治</w:t>
            </w:r>
          </w:p>
        </w:tc>
        <w:tc>
          <w:tcPr>
            <w:tcW w:w="792" w:type="pct"/>
            <w:gridSpan w:val="2"/>
            <w:tcBorders>
              <w:top w:val="nil"/>
              <w:left w:val="nil"/>
              <w:bottom w:val="single" w:color="auto" w:sz="8" w:space="0"/>
              <w:right w:val="single" w:color="auto" w:sz="4" w:space="0"/>
            </w:tcBorders>
            <w:vAlign w:val="center"/>
          </w:tcPr>
          <w:p>
            <w:pPr>
              <w:widowControl/>
              <w:jc w:val="right"/>
              <w:rPr>
                <w:rFonts w:ascii="宋体" w:cs="宋体"/>
                <w:kern w:val="0"/>
                <w:sz w:val="18"/>
                <w:szCs w:val="18"/>
              </w:rPr>
            </w:pPr>
            <w:r>
              <w:rPr>
                <w:rFonts w:ascii="宋体" w:hAnsi="宋体" w:cs="宋体"/>
                <w:kern w:val="0"/>
                <w:sz w:val="18"/>
                <w:szCs w:val="18"/>
              </w:rPr>
              <w:t>32.00</w:t>
            </w:r>
          </w:p>
        </w:tc>
        <w:tc>
          <w:tcPr>
            <w:tcW w:w="864" w:type="pct"/>
            <w:gridSpan w:val="4"/>
            <w:tcBorders>
              <w:top w:val="nil"/>
              <w:left w:val="nil"/>
              <w:bottom w:val="single" w:color="auto" w:sz="8" w:space="0"/>
              <w:right w:val="single" w:color="auto" w:sz="4" w:space="0"/>
            </w:tcBorders>
            <w:vAlign w:val="center"/>
          </w:tcPr>
          <w:p>
            <w:pPr>
              <w:widowControl/>
              <w:jc w:val="right"/>
              <w:rPr>
                <w:rFonts w:ascii="宋体" w:cs="宋体"/>
                <w:kern w:val="0"/>
                <w:sz w:val="18"/>
                <w:szCs w:val="18"/>
              </w:rPr>
            </w:pPr>
          </w:p>
        </w:tc>
        <w:tc>
          <w:tcPr>
            <w:tcW w:w="954" w:type="pct"/>
            <w:tcBorders>
              <w:top w:val="nil"/>
              <w:left w:val="nil"/>
              <w:bottom w:val="single" w:color="auto" w:sz="8" w:space="0"/>
              <w:right w:val="single" w:color="auto" w:sz="8" w:space="0"/>
            </w:tcBorders>
            <w:vAlign w:val="center"/>
          </w:tcPr>
          <w:p>
            <w:pPr>
              <w:widowControl/>
              <w:jc w:val="right"/>
              <w:rPr>
                <w:rFonts w:ascii="宋体" w:cs="宋体"/>
                <w:kern w:val="0"/>
                <w:sz w:val="18"/>
                <w:szCs w:val="18"/>
              </w:rPr>
            </w:pPr>
            <w:r>
              <w:rPr>
                <w:rFonts w:ascii="宋体" w:hAnsi="宋体" w:cs="宋体"/>
                <w:kern w:val="0"/>
                <w:sz w:val="18"/>
                <w:szCs w:val="18"/>
              </w:rPr>
              <w:t>32.00</w:t>
            </w:r>
          </w:p>
        </w:tc>
      </w:tr>
      <w:tr>
        <w:tblPrEx>
          <w:tblCellMar>
            <w:top w:w="0" w:type="dxa"/>
            <w:left w:w="108" w:type="dxa"/>
            <w:bottom w:w="0" w:type="dxa"/>
            <w:right w:w="108" w:type="dxa"/>
          </w:tblCellMar>
        </w:tblPrEx>
        <w:trPr>
          <w:gridBefore w:val="1"/>
          <w:gridAfter w:val="2"/>
          <w:wBefore w:w="172" w:type="pct"/>
          <w:wAfter w:w="378" w:type="pct"/>
          <w:trHeight w:val="272" w:hRule="exact"/>
          <w:jc w:val="center"/>
        </w:trPr>
        <w:tc>
          <w:tcPr>
            <w:tcW w:w="4450" w:type="pct"/>
            <w:gridSpan w:val="12"/>
            <w:tcBorders>
              <w:top w:val="nil"/>
              <w:left w:val="nil"/>
              <w:bottom w:val="nil"/>
              <w:right w:val="nil"/>
            </w:tcBorders>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注：本表反映部门本年度一般公共预算财政拨款支出情况。</w:t>
            </w:r>
          </w:p>
          <w:p>
            <w:pPr>
              <w:widowControl/>
              <w:jc w:val="left"/>
              <w:rPr>
                <w:rFonts w:ascii="Times New Roman" w:hAnsi="Times New Roman" w:eastAsia="仿宋_GB2312"/>
                <w:kern w:val="0"/>
                <w:szCs w:val="21"/>
              </w:rPr>
            </w:pPr>
          </w:p>
          <w:p>
            <w:pPr>
              <w:widowControl/>
              <w:jc w:val="left"/>
              <w:rPr>
                <w:rFonts w:ascii="Times New Roman" w:hAnsi="Times New Roman" w:eastAsia="仿宋_GB2312"/>
                <w:kern w:val="0"/>
                <w:szCs w:val="21"/>
              </w:rPr>
            </w:pPr>
          </w:p>
        </w:tc>
      </w:tr>
      <w:tr>
        <w:tblPrEx>
          <w:tblCellMar>
            <w:top w:w="0" w:type="dxa"/>
            <w:left w:w="108" w:type="dxa"/>
            <w:bottom w:w="0" w:type="dxa"/>
            <w:right w:w="108" w:type="dxa"/>
          </w:tblCellMar>
        </w:tblPrEx>
        <w:trPr>
          <w:trHeight w:val="113" w:hRule="atLeast"/>
        </w:trPr>
        <w:tc>
          <w:tcPr>
            <w:tcW w:w="5000" w:type="pct"/>
            <w:gridSpan w:val="15"/>
            <w:tcBorders>
              <w:top w:val="nil"/>
              <w:left w:val="nil"/>
              <w:bottom w:val="nil"/>
              <w:right w:val="nil"/>
            </w:tcBorders>
            <w:noWrap/>
            <w:vAlign w:val="center"/>
          </w:tcPr>
          <w:p>
            <w:pPr>
              <w:widowControl/>
              <w:jc w:val="center"/>
              <w:rPr>
                <w:rFonts w:ascii="宋体" w:cs="宋体"/>
                <w:b/>
                <w:color w:val="000000"/>
                <w:kern w:val="0"/>
                <w:sz w:val="32"/>
                <w:szCs w:val="32"/>
              </w:rPr>
            </w:pPr>
            <w:r>
              <w:rPr>
                <w:rFonts w:ascii="Times New Roman" w:hAnsi="Times New Roman" w:eastAsia="仿宋_GB2312"/>
                <w:bCs/>
                <w:kern w:val="0"/>
                <w:szCs w:val="21"/>
              </w:rPr>
              <w:br w:type="page"/>
            </w:r>
            <w:bookmarkStart w:id="1" w:name="RANGE!A1:I34"/>
            <w:bookmarkEnd w:id="1"/>
            <w:r>
              <w:rPr>
                <w:rFonts w:hint="eastAsia" w:ascii="宋体" w:hAnsi="宋体" w:cs="宋体"/>
                <w:b/>
                <w:color w:val="000000"/>
                <w:kern w:val="0"/>
                <w:sz w:val="32"/>
                <w:szCs w:val="32"/>
              </w:rPr>
              <w:t>一般公共预算财政拨款基本支出决算表</w:t>
            </w:r>
          </w:p>
          <w:p>
            <w:pPr>
              <w:widowControl/>
              <w:wordWrap w:val="0"/>
              <w:ind w:right="420"/>
              <w:jc w:val="righ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公开</w:t>
            </w:r>
            <w:r>
              <w:rPr>
                <w:rFonts w:ascii="Times New Roman" w:hAnsi="Times New Roman" w:eastAsia="仿宋_GB2312"/>
                <w:color w:val="000000"/>
                <w:kern w:val="0"/>
                <w:szCs w:val="21"/>
              </w:rPr>
              <w:t>06</w:t>
            </w:r>
            <w:r>
              <w:rPr>
                <w:rFonts w:hint="eastAsia" w:ascii="Times New Roman" w:hAnsi="Times New Roman" w:eastAsia="仿宋_GB2312"/>
                <w:color w:val="000000"/>
                <w:kern w:val="0"/>
                <w:szCs w:val="21"/>
              </w:rPr>
              <w:t>表</w:t>
            </w:r>
          </w:p>
          <w:p>
            <w:pPr>
              <w:widowControl/>
              <w:ind w:right="42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部门：沅江市国土资源局</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单位：万元</w:t>
            </w:r>
          </w:p>
        </w:tc>
      </w:tr>
      <w:tr>
        <w:tblPrEx>
          <w:tblCellMar>
            <w:top w:w="0" w:type="dxa"/>
            <w:left w:w="108" w:type="dxa"/>
            <w:bottom w:w="0" w:type="dxa"/>
            <w:right w:w="108" w:type="dxa"/>
          </w:tblCellMar>
        </w:tblPrEx>
        <w:trPr>
          <w:trHeight w:val="440" w:hRule="atLeast"/>
        </w:trPr>
        <w:tc>
          <w:tcPr>
            <w:tcW w:w="447"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经济分类科目编码</w:t>
            </w:r>
          </w:p>
        </w:tc>
        <w:tc>
          <w:tcPr>
            <w:tcW w:w="968" w:type="pct"/>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科目名称</w:t>
            </w:r>
          </w:p>
        </w:tc>
        <w:tc>
          <w:tcPr>
            <w:tcW w:w="528" w:type="pct"/>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317" w:type="pct"/>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经济分类科目编码</w:t>
            </w:r>
          </w:p>
        </w:tc>
        <w:tc>
          <w:tcPr>
            <w:tcW w:w="646" w:type="pct"/>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科目名称</w:t>
            </w:r>
          </w:p>
        </w:tc>
        <w:tc>
          <w:tcPr>
            <w:tcW w:w="324" w:type="pct"/>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294" w:type="pct"/>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经济分类科目编码</w:t>
            </w:r>
          </w:p>
        </w:tc>
        <w:tc>
          <w:tcPr>
            <w:tcW w:w="1176" w:type="pct"/>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科目名称</w:t>
            </w:r>
          </w:p>
        </w:tc>
        <w:tc>
          <w:tcPr>
            <w:tcW w:w="299" w:type="pct"/>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88"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工资福利支出</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ascii="宋体" w:hAnsi="宋体" w:cs="宋体"/>
                <w:color w:val="000000"/>
                <w:kern w:val="0"/>
                <w:sz w:val="18"/>
                <w:szCs w:val="18"/>
              </w:rPr>
              <w:t>1064.09</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商品和服务支出</w:t>
            </w:r>
          </w:p>
        </w:tc>
        <w:tc>
          <w:tcPr>
            <w:tcW w:w="324"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ascii="宋体" w:hAnsi="宋体" w:cs="宋体"/>
                <w:color w:val="000000"/>
                <w:kern w:val="0"/>
                <w:sz w:val="18"/>
                <w:szCs w:val="18"/>
              </w:rPr>
              <w:t>359.98</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307</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债务利息及费用支出</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30101</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基本工资</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ascii="宋体" w:hAnsi="宋体" w:cs="宋体"/>
                <w:color w:val="000000"/>
                <w:kern w:val="0"/>
                <w:sz w:val="18"/>
                <w:szCs w:val="18"/>
              </w:rPr>
              <w:t>463.92</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30201</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办公费</w:t>
            </w:r>
          </w:p>
        </w:tc>
        <w:tc>
          <w:tcPr>
            <w:tcW w:w="324" w:type="pct"/>
            <w:tcBorders>
              <w:top w:val="nil"/>
              <w:left w:val="nil"/>
              <w:bottom w:val="single" w:color="auto" w:sz="4" w:space="0"/>
              <w:right w:val="single" w:color="auto" w:sz="4" w:space="0"/>
            </w:tcBorders>
            <w:noWrap/>
            <w:vAlign w:val="center"/>
          </w:tcPr>
          <w:p>
            <w:pPr>
              <w:widowControl/>
              <w:ind w:firstLine="90" w:firstLineChars="50"/>
              <w:jc w:val="right"/>
              <w:rPr>
                <w:rFonts w:ascii="宋体" w:cs="宋体"/>
                <w:color w:val="000000"/>
                <w:kern w:val="0"/>
                <w:sz w:val="18"/>
                <w:szCs w:val="18"/>
              </w:rPr>
            </w:pPr>
            <w:r>
              <w:rPr>
                <w:rFonts w:ascii="宋体" w:hAnsi="宋体" w:cs="宋体"/>
                <w:color w:val="000000"/>
                <w:kern w:val="0"/>
                <w:sz w:val="18"/>
                <w:szCs w:val="18"/>
              </w:rPr>
              <w:t>68.62</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30701</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国内债务付息</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5"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30102</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津贴补贴</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ascii="宋体" w:hAnsi="宋体" w:cs="宋体"/>
                <w:color w:val="000000"/>
                <w:kern w:val="0"/>
                <w:sz w:val="18"/>
                <w:szCs w:val="18"/>
              </w:rPr>
              <w:t>247.86</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30202</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印刷费</w:t>
            </w:r>
          </w:p>
        </w:tc>
        <w:tc>
          <w:tcPr>
            <w:tcW w:w="324"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3.98</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30702</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国外债务付息</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30103</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奖金</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ascii="宋体" w:hAnsi="宋体" w:cs="宋体"/>
                <w:color w:val="000000"/>
                <w:kern w:val="0"/>
                <w:sz w:val="18"/>
                <w:szCs w:val="18"/>
              </w:rPr>
              <w:t>181.99</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30203</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咨询费</w:t>
            </w:r>
          </w:p>
        </w:tc>
        <w:tc>
          <w:tcPr>
            <w:tcW w:w="324"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1.15</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310</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资本性支出</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 xml:space="preserve"> 0.90</w:t>
            </w:r>
          </w:p>
          <w:p>
            <w:pPr>
              <w:jc w:val="right"/>
              <w:rPr>
                <w:rFonts w:ascii="宋体" w:cs="Arial"/>
                <w:color w:val="000000"/>
                <w:sz w:val="22"/>
              </w:rPr>
            </w:pPr>
            <w:r>
              <w:rPr>
                <w:rFonts w:cs="Arial"/>
                <w:color w:val="000000"/>
                <w:sz w:val="22"/>
              </w:rPr>
              <w:t>0.90</w:t>
            </w:r>
          </w:p>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30106</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伙食补助费</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2.70</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30204</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手续费</w:t>
            </w:r>
          </w:p>
        </w:tc>
        <w:tc>
          <w:tcPr>
            <w:tcW w:w="324"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31001</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房屋建筑物购建</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30107</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绩效工资</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30205</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水费</w:t>
            </w:r>
          </w:p>
        </w:tc>
        <w:tc>
          <w:tcPr>
            <w:tcW w:w="324"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1.75</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31002</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办公设备购置</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 xml:space="preserve"> 0.90</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30108</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机关事业单位基本养老保险缴费</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ascii="宋体" w:hAnsi="宋体" w:cs="宋体"/>
                <w:color w:val="000000"/>
                <w:kern w:val="0"/>
                <w:sz w:val="18"/>
                <w:szCs w:val="18"/>
              </w:rPr>
              <w:t>15.67</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30206</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电费</w:t>
            </w:r>
          </w:p>
        </w:tc>
        <w:tc>
          <w:tcPr>
            <w:tcW w:w="324" w:type="pct"/>
            <w:tcBorders>
              <w:top w:val="nil"/>
              <w:left w:val="nil"/>
              <w:bottom w:val="single" w:color="auto" w:sz="4" w:space="0"/>
              <w:right w:val="single" w:color="auto" w:sz="4" w:space="0"/>
            </w:tcBorders>
            <w:noWrap/>
            <w:vAlign w:val="center"/>
          </w:tcPr>
          <w:p>
            <w:pPr>
              <w:widowControl/>
              <w:ind w:firstLine="180" w:firstLineChars="100"/>
              <w:jc w:val="right"/>
              <w:rPr>
                <w:rFonts w:ascii="宋体" w:cs="宋体"/>
                <w:color w:val="000000"/>
                <w:kern w:val="0"/>
                <w:sz w:val="18"/>
                <w:szCs w:val="18"/>
              </w:rPr>
            </w:pPr>
            <w:r>
              <w:rPr>
                <w:rFonts w:ascii="宋体" w:hAnsi="宋体" w:cs="宋体"/>
                <w:color w:val="000000"/>
                <w:kern w:val="0"/>
                <w:sz w:val="18"/>
                <w:szCs w:val="18"/>
              </w:rPr>
              <w:t>2.82</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31003</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专用设备购置</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30109</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职业年金缴费</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ascii="宋体" w:hAnsi="宋体" w:cs="宋体"/>
                <w:color w:val="000000"/>
                <w:kern w:val="0"/>
                <w:sz w:val="18"/>
                <w:szCs w:val="18"/>
              </w:rPr>
              <w:t>8.17</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30207</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邮电费</w:t>
            </w:r>
          </w:p>
        </w:tc>
        <w:tc>
          <w:tcPr>
            <w:tcW w:w="324"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4.99</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31005</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基础设施建设</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30110</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职工基本医疗保险缴费</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32.12</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30208</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取暖费</w:t>
            </w:r>
          </w:p>
        </w:tc>
        <w:tc>
          <w:tcPr>
            <w:tcW w:w="324"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31006</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大型修缮</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30111</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公务员医疗补助缴费</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30209</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物业管理费</w:t>
            </w:r>
          </w:p>
        </w:tc>
        <w:tc>
          <w:tcPr>
            <w:tcW w:w="324"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31007</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信息网络及软件购置更新</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30112</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其他社会保障缴费</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0.27</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30211</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差旅费</w:t>
            </w:r>
          </w:p>
        </w:tc>
        <w:tc>
          <w:tcPr>
            <w:tcW w:w="324" w:type="pct"/>
            <w:tcBorders>
              <w:top w:val="nil"/>
              <w:left w:val="nil"/>
              <w:bottom w:val="single" w:color="auto" w:sz="4" w:space="0"/>
              <w:right w:val="single" w:color="auto" w:sz="4" w:space="0"/>
            </w:tcBorders>
            <w:noWrap/>
            <w:vAlign w:val="center"/>
          </w:tcPr>
          <w:p>
            <w:pPr>
              <w:widowControl/>
              <w:ind w:firstLine="90" w:firstLineChars="50"/>
              <w:jc w:val="right"/>
              <w:rPr>
                <w:rFonts w:ascii="宋体" w:cs="宋体"/>
                <w:color w:val="000000"/>
                <w:kern w:val="0"/>
                <w:sz w:val="18"/>
                <w:szCs w:val="18"/>
              </w:rPr>
            </w:pPr>
            <w:r>
              <w:rPr>
                <w:rFonts w:ascii="宋体" w:hAnsi="宋体" w:cs="宋体"/>
                <w:color w:val="000000"/>
                <w:kern w:val="0"/>
                <w:sz w:val="18"/>
                <w:szCs w:val="18"/>
              </w:rPr>
              <w:t>24.82</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31008</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物资储备</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30113</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住房公积金</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ascii="宋体" w:hAnsi="宋体" w:cs="宋体"/>
                <w:color w:val="000000"/>
                <w:kern w:val="0"/>
                <w:sz w:val="18"/>
                <w:szCs w:val="18"/>
              </w:rPr>
              <w:t>111.40</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30212</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因公出国（境）费用</w:t>
            </w:r>
          </w:p>
        </w:tc>
        <w:tc>
          <w:tcPr>
            <w:tcW w:w="324"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31009</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土地补偿</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30114</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医疗费</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30213</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维修（护）费</w:t>
            </w:r>
          </w:p>
        </w:tc>
        <w:tc>
          <w:tcPr>
            <w:tcW w:w="324" w:type="pct"/>
            <w:tcBorders>
              <w:top w:val="nil"/>
              <w:left w:val="nil"/>
              <w:bottom w:val="single" w:color="auto" w:sz="4" w:space="0"/>
              <w:right w:val="single" w:color="auto" w:sz="4" w:space="0"/>
            </w:tcBorders>
            <w:noWrap/>
            <w:vAlign w:val="center"/>
          </w:tcPr>
          <w:p>
            <w:pPr>
              <w:widowControl/>
              <w:ind w:firstLine="180" w:firstLineChars="100"/>
              <w:jc w:val="right"/>
              <w:rPr>
                <w:rFonts w:ascii="宋体" w:cs="宋体"/>
                <w:color w:val="000000"/>
                <w:kern w:val="0"/>
                <w:sz w:val="18"/>
                <w:szCs w:val="18"/>
              </w:rPr>
            </w:pPr>
            <w:r>
              <w:rPr>
                <w:rFonts w:ascii="宋体" w:hAnsi="宋体" w:cs="宋体"/>
                <w:color w:val="000000"/>
                <w:kern w:val="0"/>
                <w:sz w:val="18"/>
                <w:szCs w:val="18"/>
              </w:rPr>
              <w:t>6.44</w:t>
            </w:r>
            <w:r>
              <w:rPr>
                <w:rFonts w:hint="eastAsia" w:ascii="宋体" w:hAnsi="宋体" w:cs="宋体"/>
                <w:color w:val="000000"/>
                <w:kern w:val="0"/>
                <w:sz w:val="18"/>
                <w:szCs w:val="18"/>
              </w:rPr>
              <w:t>　</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31010</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安置补助</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30199</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其他工资福利支出</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30214</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租赁费</w:t>
            </w:r>
          </w:p>
        </w:tc>
        <w:tc>
          <w:tcPr>
            <w:tcW w:w="324"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31011</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地上附着物和青苗补偿</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对个人和家庭的补助</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34.90</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30215</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会议费</w:t>
            </w:r>
          </w:p>
        </w:tc>
        <w:tc>
          <w:tcPr>
            <w:tcW w:w="324" w:type="pct"/>
            <w:tcBorders>
              <w:top w:val="nil"/>
              <w:left w:val="nil"/>
              <w:bottom w:val="single" w:color="auto" w:sz="4" w:space="0"/>
              <w:right w:val="single" w:color="auto" w:sz="4" w:space="0"/>
            </w:tcBorders>
            <w:noWrap/>
            <w:vAlign w:val="center"/>
          </w:tcPr>
          <w:p>
            <w:pPr>
              <w:widowControl/>
              <w:ind w:firstLine="180" w:firstLineChars="100"/>
              <w:jc w:val="right"/>
              <w:rPr>
                <w:rFonts w:ascii="宋体" w:cs="宋体"/>
                <w:color w:val="000000"/>
                <w:kern w:val="0"/>
                <w:sz w:val="18"/>
                <w:szCs w:val="18"/>
              </w:rPr>
            </w:pPr>
            <w:r>
              <w:rPr>
                <w:rFonts w:ascii="宋体" w:hAnsi="宋体" w:cs="宋体"/>
                <w:color w:val="000000"/>
                <w:kern w:val="0"/>
                <w:sz w:val="18"/>
                <w:szCs w:val="18"/>
              </w:rPr>
              <w:t>3.28</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31012</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拆迁补偿</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30301</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离休费</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30216</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培训费</w:t>
            </w:r>
          </w:p>
        </w:tc>
        <w:tc>
          <w:tcPr>
            <w:tcW w:w="324" w:type="pct"/>
            <w:tcBorders>
              <w:top w:val="nil"/>
              <w:left w:val="nil"/>
              <w:bottom w:val="single" w:color="auto" w:sz="4" w:space="0"/>
              <w:right w:val="single" w:color="auto" w:sz="4" w:space="0"/>
            </w:tcBorders>
            <w:noWrap/>
            <w:vAlign w:val="center"/>
          </w:tcPr>
          <w:p>
            <w:pPr>
              <w:widowControl/>
              <w:ind w:firstLine="180" w:firstLineChars="100"/>
              <w:jc w:val="right"/>
              <w:rPr>
                <w:rFonts w:ascii="宋体" w:cs="宋体"/>
                <w:color w:val="000000"/>
                <w:kern w:val="0"/>
                <w:sz w:val="18"/>
                <w:szCs w:val="18"/>
              </w:rPr>
            </w:pPr>
            <w:r>
              <w:rPr>
                <w:rFonts w:ascii="宋体" w:hAnsi="宋体" w:cs="宋体"/>
                <w:color w:val="000000"/>
                <w:kern w:val="0"/>
                <w:sz w:val="18"/>
                <w:szCs w:val="18"/>
              </w:rPr>
              <w:t>2.59</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31013</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公务用车购置</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30302</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退休费</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30217</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公务接待费</w:t>
            </w:r>
          </w:p>
        </w:tc>
        <w:tc>
          <w:tcPr>
            <w:tcW w:w="324" w:type="pct"/>
            <w:tcBorders>
              <w:top w:val="nil"/>
              <w:left w:val="nil"/>
              <w:bottom w:val="single" w:color="auto" w:sz="4" w:space="0"/>
              <w:right w:val="single" w:color="auto" w:sz="4" w:space="0"/>
            </w:tcBorders>
            <w:noWrap/>
            <w:vAlign w:val="center"/>
          </w:tcPr>
          <w:p>
            <w:pPr>
              <w:widowControl/>
              <w:ind w:firstLine="180" w:firstLineChars="100"/>
              <w:jc w:val="right"/>
              <w:rPr>
                <w:rFonts w:ascii="宋体" w:cs="宋体"/>
                <w:color w:val="000000"/>
                <w:kern w:val="0"/>
                <w:sz w:val="18"/>
                <w:szCs w:val="18"/>
              </w:rPr>
            </w:pPr>
            <w:r>
              <w:rPr>
                <w:rFonts w:ascii="宋体" w:hAnsi="宋体" w:cs="宋体"/>
                <w:color w:val="000000"/>
                <w:kern w:val="0"/>
                <w:sz w:val="18"/>
                <w:szCs w:val="18"/>
              </w:rPr>
              <w:t>6.00</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31019</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其他交通工具购置</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30303</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退职（役）费</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30218</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专用材料费</w:t>
            </w:r>
          </w:p>
        </w:tc>
        <w:tc>
          <w:tcPr>
            <w:tcW w:w="324"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31021</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文物和陈列品购置</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30304</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抚恤金</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ascii="宋体" w:hAnsi="宋体" w:cs="宋体"/>
                <w:color w:val="000000"/>
                <w:kern w:val="0"/>
                <w:sz w:val="18"/>
                <w:szCs w:val="18"/>
              </w:rPr>
              <w:t>16.48</w:t>
            </w:r>
            <w:r>
              <w:rPr>
                <w:rFonts w:hint="eastAsia" w:ascii="宋体" w:hAnsi="宋体" w:cs="宋体"/>
                <w:color w:val="000000"/>
                <w:kern w:val="0"/>
                <w:sz w:val="18"/>
                <w:szCs w:val="18"/>
              </w:rPr>
              <w:t>　</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30224</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被装购置费</w:t>
            </w:r>
          </w:p>
        </w:tc>
        <w:tc>
          <w:tcPr>
            <w:tcW w:w="324"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31022</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无形资产购置</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30305</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生活补助</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3.88</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30225</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专用燃料费</w:t>
            </w:r>
          </w:p>
        </w:tc>
        <w:tc>
          <w:tcPr>
            <w:tcW w:w="324"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31099</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其他资本性支出</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30306</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救济费</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30226</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劳务费</w:t>
            </w:r>
          </w:p>
        </w:tc>
        <w:tc>
          <w:tcPr>
            <w:tcW w:w="324" w:type="pct"/>
            <w:tcBorders>
              <w:top w:val="nil"/>
              <w:left w:val="nil"/>
              <w:bottom w:val="single" w:color="auto" w:sz="4" w:space="0"/>
              <w:right w:val="single" w:color="auto" w:sz="4" w:space="0"/>
            </w:tcBorders>
            <w:noWrap/>
            <w:vAlign w:val="center"/>
          </w:tcPr>
          <w:p>
            <w:pPr>
              <w:widowControl/>
              <w:ind w:firstLine="90" w:firstLineChars="50"/>
              <w:jc w:val="right"/>
              <w:rPr>
                <w:rFonts w:ascii="宋体" w:cs="宋体"/>
                <w:color w:val="000000"/>
                <w:kern w:val="0"/>
                <w:sz w:val="18"/>
                <w:szCs w:val="18"/>
              </w:rPr>
            </w:pPr>
            <w:r>
              <w:rPr>
                <w:rFonts w:ascii="宋体" w:hAnsi="宋体" w:cs="宋体"/>
                <w:color w:val="000000"/>
                <w:kern w:val="0"/>
                <w:sz w:val="18"/>
                <w:szCs w:val="18"/>
              </w:rPr>
              <w:t>11.13</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399</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其他支出</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30307</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医疗费补助</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30227</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委托业务费</w:t>
            </w:r>
          </w:p>
        </w:tc>
        <w:tc>
          <w:tcPr>
            <w:tcW w:w="324" w:type="pct"/>
            <w:tcBorders>
              <w:top w:val="nil"/>
              <w:left w:val="nil"/>
              <w:bottom w:val="single" w:color="auto" w:sz="4" w:space="0"/>
              <w:right w:val="single" w:color="auto" w:sz="4" w:space="0"/>
            </w:tcBorders>
            <w:noWrap/>
            <w:vAlign w:val="center"/>
          </w:tcPr>
          <w:p>
            <w:pPr>
              <w:widowControl/>
              <w:ind w:firstLine="90" w:firstLineChars="50"/>
              <w:jc w:val="right"/>
              <w:rPr>
                <w:rFonts w:ascii="宋体" w:cs="宋体"/>
                <w:color w:val="000000"/>
                <w:kern w:val="0"/>
                <w:sz w:val="18"/>
                <w:szCs w:val="18"/>
              </w:rPr>
            </w:pPr>
            <w:r>
              <w:rPr>
                <w:rFonts w:ascii="宋体" w:hAnsi="宋体" w:cs="宋体"/>
                <w:color w:val="000000"/>
                <w:kern w:val="0"/>
                <w:sz w:val="18"/>
                <w:szCs w:val="18"/>
              </w:rPr>
              <w:t>51.00</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39906</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赠与</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30308</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助学金</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30228</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工会经费</w:t>
            </w:r>
          </w:p>
        </w:tc>
        <w:tc>
          <w:tcPr>
            <w:tcW w:w="324" w:type="pct"/>
            <w:tcBorders>
              <w:top w:val="nil"/>
              <w:left w:val="nil"/>
              <w:bottom w:val="single" w:color="auto" w:sz="4" w:space="0"/>
              <w:right w:val="single" w:color="auto" w:sz="4" w:space="0"/>
            </w:tcBorders>
            <w:noWrap/>
            <w:vAlign w:val="center"/>
          </w:tcPr>
          <w:p>
            <w:pPr>
              <w:widowControl/>
              <w:ind w:firstLine="90" w:firstLineChars="50"/>
              <w:jc w:val="right"/>
              <w:rPr>
                <w:rFonts w:ascii="宋体" w:cs="宋体"/>
                <w:color w:val="000000"/>
                <w:kern w:val="0"/>
                <w:sz w:val="18"/>
                <w:szCs w:val="18"/>
              </w:rPr>
            </w:pPr>
            <w:r>
              <w:rPr>
                <w:rFonts w:ascii="宋体" w:hAnsi="宋体" w:cs="宋体"/>
                <w:color w:val="000000"/>
                <w:kern w:val="0"/>
                <w:sz w:val="18"/>
                <w:szCs w:val="18"/>
              </w:rPr>
              <w:t>94.60</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39907</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国家赔偿费用支出</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30309</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奖励金</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10.95</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30229</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福利费</w:t>
            </w:r>
          </w:p>
        </w:tc>
        <w:tc>
          <w:tcPr>
            <w:tcW w:w="324" w:type="pct"/>
            <w:tcBorders>
              <w:top w:val="nil"/>
              <w:left w:val="nil"/>
              <w:bottom w:val="single" w:color="auto" w:sz="4" w:space="0"/>
              <w:right w:val="single" w:color="auto" w:sz="4" w:space="0"/>
            </w:tcBorders>
            <w:noWrap/>
            <w:vAlign w:val="center"/>
          </w:tcPr>
          <w:p>
            <w:pPr>
              <w:widowControl/>
              <w:ind w:firstLine="90" w:firstLineChars="50"/>
              <w:jc w:val="right"/>
              <w:rPr>
                <w:rFonts w:ascii="宋体" w:cs="宋体"/>
                <w:color w:val="000000"/>
                <w:kern w:val="0"/>
                <w:sz w:val="18"/>
                <w:szCs w:val="18"/>
              </w:rPr>
            </w:pPr>
            <w:r>
              <w:rPr>
                <w:rFonts w:ascii="宋体" w:hAnsi="宋体" w:cs="宋体"/>
                <w:color w:val="000000"/>
                <w:kern w:val="0"/>
                <w:sz w:val="18"/>
                <w:szCs w:val="18"/>
              </w:rPr>
              <w:t>27.83</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39908</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对民间非营利组织和群众性自治组织补贴</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30310</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个人农业生产补贴</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30231</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公务用车运行维护费</w:t>
            </w:r>
          </w:p>
        </w:tc>
        <w:tc>
          <w:tcPr>
            <w:tcW w:w="324"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39999</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其他支出</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30311</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代缴社会保险费</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30239</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其他交通费用</w:t>
            </w:r>
          </w:p>
        </w:tc>
        <w:tc>
          <w:tcPr>
            <w:tcW w:w="324" w:type="pct"/>
            <w:tcBorders>
              <w:top w:val="nil"/>
              <w:left w:val="nil"/>
              <w:bottom w:val="single" w:color="auto" w:sz="4" w:space="0"/>
              <w:right w:val="single" w:color="auto" w:sz="4" w:space="0"/>
            </w:tcBorders>
            <w:noWrap/>
            <w:vAlign w:val="center"/>
          </w:tcPr>
          <w:p>
            <w:pPr>
              <w:widowControl/>
              <w:ind w:firstLine="180" w:firstLineChars="100"/>
              <w:jc w:val="right"/>
              <w:rPr>
                <w:rFonts w:ascii="宋体" w:cs="宋体"/>
                <w:color w:val="000000"/>
                <w:kern w:val="0"/>
                <w:sz w:val="18"/>
                <w:szCs w:val="18"/>
              </w:rPr>
            </w:pPr>
            <w:r>
              <w:rPr>
                <w:rFonts w:ascii="宋体" w:hAnsi="宋体" w:cs="宋体"/>
                <w:color w:val="000000"/>
                <w:kern w:val="0"/>
                <w:sz w:val="18"/>
                <w:szCs w:val="18"/>
              </w:rPr>
              <w:t>7.44</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30399</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其他对个人和家庭的补助</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ascii="宋体" w:hAnsi="宋体" w:cs="宋体"/>
                <w:color w:val="000000"/>
                <w:kern w:val="0"/>
                <w:sz w:val="18"/>
                <w:szCs w:val="18"/>
              </w:rPr>
              <w:t>3.58</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30240</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税金及附加费用</w:t>
            </w:r>
          </w:p>
        </w:tc>
        <w:tc>
          <w:tcPr>
            <w:tcW w:w="324"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447" w:type="pct"/>
            <w:gridSpan w:val="2"/>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p>
        </w:tc>
        <w:tc>
          <w:tcPr>
            <w:tcW w:w="968"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17"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30299</w:t>
            </w:r>
          </w:p>
        </w:tc>
        <w:tc>
          <w:tcPr>
            <w:tcW w:w="646" w:type="pct"/>
            <w:gridSpan w:val="2"/>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其他商品和服务支出</w:t>
            </w:r>
          </w:p>
        </w:tc>
        <w:tc>
          <w:tcPr>
            <w:tcW w:w="324" w:type="pct"/>
            <w:tcBorders>
              <w:top w:val="nil"/>
              <w:left w:val="nil"/>
              <w:bottom w:val="single" w:color="auto" w:sz="4" w:space="0"/>
              <w:right w:val="single" w:color="auto" w:sz="4" w:space="0"/>
            </w:tcBorders>
            <w:noWrap/>
            <w:vAlign w:val="center"/>
          </w:tcPr>
          <w:p>
            <w:pPr>
              <w:widowControl/>
              <w:ind w:firstLine="90" w:firstLineChars="50"/>
              <w:jc w:val="right"/>
              <w:rPr>
                <w:rFonts w:ascii="宋体" w:cs="宋体"/>
                <w:color w:val="000000"/>
                <w:kern w:val="0"/>
                <w:sz w:val="18"/>
                <w:szCs w:val="18"/>
              </w:rPr>
            </w:pPr>
            <w:r>
              <w:rPr>
                <w:rFonts w:ascii="宋体" w:hAnsi="宋体" w:cs="宋体"/>
                <w:color w:val="000000"/>
                <w:kern w:val="0"/>
                <w:sz w:val="18"/>
                <w:szCs w:val="18"/>
              </w:rPr>
              <w:t>41.54</w:t>
            </w:r>
          </w:p>
        </w:tc>
        <w:tc>
          <w:tcPr>
            <w:tcW w:w="294" w:type="pct"/>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176" w:type="pct"/>
            <w:gridSpan w:val="3"/>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84" w:hRule="exact"/>
        </w:trPr>
        <w:tc>
          <w:tcPr>
            <w:tcW w:w="1415" w:type="pct"/>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人员经费合计</w:t>
            </w:r>
          </w:p>
        </w:tc>
        <w:tc>
          <w:tcPr>
            <w:tcW w:w="528"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ascii="宋体" w:hAnsi="宋体" w:cs="宋体"/>
                <w:color w:val="000000"/>
                <w:kern w:val="0"/>
                <w:sz w:val="18"/>
                <w:szCs w:val="18"/>
              </w:rPr>
              <w:t>1098.99</w:t>
            </w:r>
          </w:p>
        </w:tc>
        <w:tc>
          <w:tcPr>
            <w:tcW w:w="2758" w:type="pct"/>
            <w:gridSpan w:val="9"/>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公用经费合计</w:t>
            </w:r>
          </w:p>
        </w:tc>
        <w:tc>
          <w:tcPr>
            <w:tcW w:w="299" w:type="pct"/>
            <w:tcBorders>
              <w:top w:val="nil"/>
              <w:left w:val="nil"/>
              <w:bottom w:val="single" w:color="auto" w:sz="4" w:space="0"/>
              <w:right w:val="single" w:color="auto" w:sz="4" w:space="0"/>
            </w:tcBorders>
            <w:noWrap/>
            <w:vAlign w:val="center"/>
          </w:tcPr>
          <w:p>
            <w:pPr>
              <w:widowControl/>
              <w:jc w:val="right"/>
              <w:rPr>
                <w:rFonts w:ascii="宋体" w:cs="宋体"/>
                <w:color w:val="000000"/>
                <w:kern w:val="0"/>
                <w:sz w:val="18"/>
                <w:szCs w:val="18"/>
              </w:rPr>
            </w:pPr>
            <w:r>
              <w:rPr>
                <w:rFonts w:ascii="宋体" w:hAnsi="宋体" w:cs="宋体"/>
                <w:color w:val="000000"/>
                <w:kern w:val="0"/>
                <w:sz w:val="18"/>
                <w:szCs w:val="18"/>
              </w:rPr>
              <w:t>360.88</w:t>
            </w:r>
            <w:r>
              <w:rPr>
                <w:rFonts w:hint="eastAsia" w:ascii="宋体" w:hAnsi="宋体" w:cs="宋体"/>
                <w:color w:val="000000"/>
                <w:kern w:val="0"/>
                <w:sz w:val="18"/>
                <w:szCs w:val="18"/>
              </w:rPr>
              <w:t>　</w:t>
            </w:r>
            <w:r>
              <w:rPr>
                <w:rFonts w:ascii="宋体" w:hAnsi="宋体" w:cs="宋体"/>
                <w:color w:val="000000"/>
                <w:kern w:val="0"/>
                <w:sz w:val="18"/>
                <w:szCs w:val="18"/>
              </w:rPr>
              <w:t>360.88</w:t>
            </w:r>
          </w:p>
        </w:tc>
      </w:tr>
      <w:tr>
        <w:tblPrEx>
          <w:tblCellMar>
            <w:top w:w="0" w:type="dxa"/>
            <w:left w:w="108" w:type="dxa"/>
            <w:bottom w:w="0" w:type="dxa"/>
            <w:right w:w="108" w:type="dxa"/>
          </w:tblCellMar>
        </w:tblPrEx>
        <w:trPr>
          <w:trHeight w:val="284" w:hRule="exact"/>
        </w:trPr>
        <w:tc>
          <w:tcPr>
            <w:tcW w:w="5000" w:type="pct"/>
            <w:gridSpan w:val="15"/>
            <w:tcBorders>
              <w:top w:val="nil"/>
              <w:left w:val="nil"/>
              <w:bottom w:val="nil"/>
              <w:right w:val="nil"/>
            </w:tcBorders>
            <w:noWrap/>
            <w:vAlign w:val="center"/>
          </w:tcPr>
          <w:p>
            <w:pPr>
              <w:widowControl/>
              <w:jc w:val="left"/>
              <w:rPr>
                <w:rFonts w:ascii="宋体" w:cs="宋体"/>
                <w:color w:val="000000"/>
                <w:kern w:val="0"/>
                <w:szCs w:val="24"/>
              </w:rPr>
            </w:pPr>
            <w:r>
              <w:rPr>
                <w:rFonts w:hint="eastAsia" w:ascii="宋体" w:hAnsi="宋体" w:cs="宋体"/>
                <w:color w:val="000000"/>
                <w:kern w:val="0"/>
                <w:szCs w:val="24"/>
              </w:rPr>
              <w:t>注：本表反映部门本年度一般公共预算财政拨款基本支出明细情况。</w:t>
            </w:r>
          </w:p>
        </w:tc>
      </w:tr>
    </w:tbl>
    <w:p>
      <w:pPr>
        <w:widowControl/>
        <w:jc w:val="center"/>
        <w:rPr>
          <w:rFonts w:ascii="宋体" w:cs="宋体"/>
          <w:b/>
          <w:color w:val="000000"/>
          <w:kern w:val="0"/>
          <w:sz w:val="32"/>
          <w:szCs w:val="32"/>
        </w:rPr>
      </w:pPr>
    </w:p>
    <w:p>
      <w:pPr>
        <w:widowControl/>
        <w:jc w:val="center"/>
        <w:rPr>
          <w:rFonts w:ascii="宋体" w:cs="宋体"/>
          <w:b/>
          <w:color w:val="000000"/>
          <w:kern w:val="0"/>
          <w:sz w:val="32"/>
          <w:szCs w:val="32"/>
        </w:rPr>
      </w:pPr>
      <w:r>
        <w:rPr>
          <w:rFonts w:hint="eastAsia" w:ascii="宋体" w:hAnsi="宋体" w:cs="宋体"/>
          <w:b/>
          <w:color w:val="000000"/>
          <w:kern w:val="0"/>
          <w:sz w:val="32"/>
          <w:szCs w:val="32"/>
        </w:rPr>
        <w:t>一般公共预算财政拨款“三公”经费支出决算表</w:t>
      </w:r>
    </w:p>
    <w:p>
      <w:pPr>
        <w:widowControl/>
        <w:ind w:left="13599" w:hanging="13599" w:hangingChars="4233"/>
        <w:rPr>
          <w:rFonts w:ascii="Times New Roman" w:hAnsi="Times New Roman" w:eastAsia="仿宋_GB2312"/>
          <w:color w:val="000000"/>
          <w:kern w:val="0"/>
          <w:szCs w:val="21"/>
        </w:rPr>
      </w:pPr>
      <w:r>
        <w:rPr>
          <w:rFonts w:ascii="宋体" w:hAnsi="宋体" w:cs="宋体"/>
          <w:b/>
          <w:color w:val="000000"/>
          <w:kern w:val="0"/>
          <w:sz w:val="32"/>
          <w:szCs w:val="32"/>
        </w:rPr>
        <w:t xml:space="preserve">                                                                                                        </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公开</w:t>
      </w:r>
      <w:r>
        <w:rPr>
          <w:rFonts w:ascii="Times New Roman" w:hAnsi="Times New Roman" w:eastAsia="仿宋_GB2312"/>
          <w:color w:val="000000"/>
          <w:kern w:val="0"/>
          <w:szCs w:val="21"/>
        </w:rPr>
        <w:t>07</w:t>
      </w:r>
      <w:r>
        <w:rPr>
          <w:rFonts w:hint="eastAsia" w:ascii="Times New Roman" w:hAnsi="Times New Roman" w:eastAsia="仿宋_GB2312"/>
          <w:color w:val="000000"/>
          <w:kern w:val="0"/>
          <w:szCs w:val="21"/>
        </w:rPr>
        <w:t>表</w:t>
      </w:r>
    </w:p>
    <w:p>
      <w:pPr>
        <w:widowControl/>
        <w:ind w:right="840" w:firstLine="210" w:firstLineChars="1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部门：沅江市国土资源局</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szCs w:val="21"/>
              </w:rPr>
              <w:t>预算数</w:t>
            </w:r>
          </w:p>
        </w:tc>
        <w:tc>
          <w:tcPr>
            <w:tcW w:w="7320" w:type="dxa"/>
            <w:gridSpan w:val="6"/>
            <w:tcBorders>
              <w:top w:val="single" w:color="auto" w:sz="8" w:space="0"/>
              <w:left w:val="nil"/>
              <w:bottom w:val="single" w:color="auto" w:sz="4" w:space="0"/>
              <w:right w:val="single" w:color="000000" w:sz="8" w:space="0"/>
            </w:tcBorders>
            <w:vAlign w:val="center"/>
          </w:tcPr>
          <w:p>
            <w:pPr>
              <w:widowControl/>
              <w:jc w:val="center"/>
              <w:rPr>
                <w:rFonts w:ascii="宋体"/>
                <w:kern w:val="0"/>
                <w:szCs w:val="21"/>
              </w:rPr>
            </w:pPr>
            <w:r>
              <w:rPr>
                <w:rFonts w:hint="eastAsia" w:ascii="宋体" w:hAnsi="宋体"/>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vAlign w:val="center"/>
          </w:tcPr>
          <w:p>
            <w:pPr>
              <w:widowControl/>
              <w:jc w:val="center"/>
              <w:rPr>
                <w:rFonts w:ascii="宋体"/>
                <w:kern w:val="0"/>
                <w:szCs w:val="21"/>
              </w:rPr>
            </w:pPr>
            <w:r>
              <w:rPr>
                <w:rFonts w:hint="eastAsia" w:ascii="宋体" w:hAnsi="宋体"/>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kern w:val="0"/>
                <w:szCs w:val="21"/>
              </w:rPr>
            </w:pPr>
            <w:r>
              <w:rPr>
                <w:rFonts w:hint="eastAsia" w:ascii="宋体" w:hAnsi="宋体"/>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公务</w:t>
            </w:r>
          </w:p>
          <w:p>
            <w:pPr>
              <w:widowControl/>
              <w:jc w:val="center"/>
              <w:rPr>
                <w:rFonts w:ascii="宋体"/>
                <w:kern w:val="0"/>
                <w:szCs w:val="21"/>
              </w:rPr>
            </w:pPr>
            <w:r>
              <w:rPr>
                <w:rFonts w:hint="eastAsia" w:ascii="宋体" w:hAnsi="宋体"/>
                <w:kern w:val="0"/>
                <w:szCs w:val="21"/>
              </w:rPr>
              <w:t>接待费</w:t>
            </w:r>
          </w:p>
        </w:tc>
        <w:tc>
          <w:tcPr>
            <w:tcW w:w="1220" w:type="dxa"/>
            <w:vMerge w:val="restart"/>
            <w:tcBorders>
              <w:top w:val="nil"/>
              <w:left w:val="nil"/>
              <w:bottom w:val="single" w:color="000000" w:sz="4" w:space="0"/>
              <w:right w:val="single" w:color="auto" w:sz="4" w:space="0"/>
            </w:tcBorders>
            <w:vAlign w:val="center"/>
          </w:tcPr>
          <w:p>
            <w:pPr>
              <w:widowControl/>
              <w:jc w:val="center"/>
              <w:rPr>
                <w:rFonts w:ascii="宋体"/>
                <w:kern w:val="0"/>
                <w:szCs w:val="21"/>
              </w:rPr>
            </w:pPr>
            <w:r>
              <w:rPr>
                <w:rFonts w:hint="eastAsia" w:ascii="宋体" w:hAnsi="宋体"/>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kern w:val="0"/>
                <w:szCs w:val="21"/>
              </w:rPr>
            </w:pPr>
            <w:r>
              <w:rPr>
                <w:rFonts w:hint="eastAsia" w:ascii="宋体" w:hAnsi="宋体"/>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kern w:val="0"/>
                <w:szCs w:val="21"/>
              </w:rPr>
            </w:pPr>
            <w:r>
              <w:rPr>
                <w:rFonts w:hint="eastAsia" w:ascii="宋体" w:hAnsi="宋体"/>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vAlign w:val="center"/>
          </w:tcPr>
          <w:p>
            <w:pPr>
              <w:widowControl/>
              <w:jc w:val="center"/>
              <w:rPr>
                <w:rFonts w:ascii="宋体"/>
                <w:kern w:val="0"/>
                <w:szCs w:val="21"/>
              </w:rPr>
            </w:pPr>
            <w:r>
              <w:rPr>
                <w:rFonts w:hint="eastAsia" w:ascii="宋体" w:hAnsi="宋体"/>
                <w:kern w:val="0"/>
                <w:szCs w:val="21"/>
              </w:rPr>
              <w:t>公务</w:t>
            </w:r>
          </w:p>
          <w:p>
            <w:pPr>
              <w:widowControl/>
              <w:jc w:val="center"/>
              <w:rPr>
                <w:rFonts w:ascii="宋体"/>
                <w:kern w:val="0"/>
                <w:szCs w:val="21"/>
              </w:rPr>
            </w:pPr>
            <w:r>
              <w:rPr>
                <w:rFonts w:hint="eastAsia" w:ascii="宋体" w:hAnsi="宋体"/>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公务用车</w:t>
            </w:r>
            <w:r>
              <w:rPr>
                <w:rFonts w:ascii="宋体"/>
                <w:kern w:val="0"/>
                <w:szCs w:val="21"/>
              </w:rPr>
              <w:br w:type="textWrapping"/>
            </w:r>
            <w:r>
              <w:rPr>
                <w:rFonts w:hint="eastAsia" w:ascii="宋体" w:hAnsi="宋体"/>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公务用车</w:t>
            </w:r>
            <w:r>
              <w:rPr>
                <w:rFonts w:ascii="宋体"/>
                <w:kern w:val="0"/>
                <w:szCs w:val="21"/>
              </w:rPr>
              <w:br w:type="textWrapping"/>
            </w:r>
            <w:r>
              <w:rPr>
                <w:rFonts w:hint="eastAsia" w:ascii="宋体" w:hAnsi="宋体"/>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宋体"/>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公务用车</w:t>
            </w:r>
            <w:r>
              <w:rPr>
                <w:rFonts w:ascii="宋体"/>
                <w:kern w:val="0"/>
                <w:szCs w:val="21"/>
              </w:rPr>
              <w:br w:type="textWrapping"/>
            </w:r>
            <w:r>
              <w:rPr>
                <w:rFonts w:hint="eastAsia" w:ascii="宋体" w:hAnsi="宋体"/>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ascii="宋体"/>
                <w:kern w:val="0"/>
                <w:szCs w:val="21"/>
              </w:rPr>
            </w:pPr>
            <w:r>
              <w:rPr>
                <w:rFonts w:hint="eastAsia" w:ascii="宋体" w:hAnsi="宋体"/>
                <w:kern w:val="0"/>
                <w:szCs w:val="21"/>
              </w:rPr>
              <w:t>公务用车</w:t>
            </w:r>
            <w:r>
              <w:rPr>
                <w:rFonts w:ascii="宋体"/>
                <w:kern w:val="0"/>
                <w:szCs w:val="21"/>
              </w:rPr>
              <w:br w:type="textWrapping"/>
            </w:r>
            <w:r>
              <w:rPr>
                <w:rFonts w:hint="eastAsia" w:ascii="宋体" w:hAnsi="宋体"/>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宋体"/>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122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3</w:t>
            </w:r>
          </w:p>
        </w:tc>
        <w:tc>
          <w:tcPr>
            <w:tcW w:w="122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4</w:t>
            </w:r>
          </w:p>
        </w:tc>
        <w:tc>
          <w:tcPr>
            <w:tcW w:w="122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5</w:t>
            </w:r>
          </w:p>
        </w:tc>
        <w:tc>
          <w:tcPr>
            <w:tcW w:w="122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6</w:t>
            </w:r>
          </w:p>
        </w:tc>
        <w:tc>
          <w:tcPr>
            <w:tcW w:w="122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7</w:t>
            </w:r>
          </w:p>
        </w:tc>
        <w:tc>
          <w:tcPr>
            <w:tcW w:w="122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8</w:t>
            </w:r>
          </w:p>
        </w:tc>
        <w:tc>
          <w:tcPr>
            <w:tcW w:w="122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9</w:t>
            </w:r>
          </w:p>
        </w:tc>
        <w:tc>
          <w:tcPr>
            <w:tcW w:w="122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10</w:t>
            </w:r>
          </w:p>
        </w:tc>
        <w:tc>
          <w:tcPr>
            <w:tcW w:w="1220"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11</w:t>
            </w:r>
          </w:p>
        </w:tc>
        <w:tc>
          <w:tcPr>
            <w:tcW w:w="1220" w:type="dxa"/>
            <w:tcBorders>
              <w:top w:val="nil"/>
              <w:left w:val="nil"/>
              <w:bottom w:val="single" w:color="auto" w:sz="4" w:space="0"/>
              <w:right w:val="single" w:color="auto" w:sz="8" w:space="0"/>
            </w:tcBorders>
            <w:vAlign w:val="center"/>
          </w:tcPr>
          <w:p>
            <w:pPr>
              <w:widowControl/>
              <w:jc w:val="center"/>
              <w:rPr>
                <w:rFonts w:ascii="宋体" w:hAnsi="宋体"/>
                <w:kern w:val="0"/>
                <w:szCs w:val="21"/>
              </w:rPr>
            </w:pPr>
            <w:r>
              <w:rPr>
                <w:rFonts w:ascii="宋体" w:hAnsi="宋体"/>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vAlign w:val="center"/>
          </w:tcPr>
          <w:p>
            <w:pPr>
              <w:widowControl/>
              <w:jc w:val="right"/>
              <w:rPr>
                <w:rFonts w:ascii="宋体" w:cs="宋体"/>
                <w:kern w:val="0"/>
                <w:sz w:val="22"/>
              </w:rPr>
            </w:pPr>
            <w:r>
              <w:rPr>
                <w:rFonts w:hint="eastAsia" w:ascii="宋体" w:hAnsi="宋体" w:cs="宋体"/>
                <w:kern w:val="0"/>
                <w:sz w:val="22"/>
              </w:rPr>
              <w:t>　</w:t>
            </w:r>
            <w:r>
              <w:rPr>
                <w:rFonts w:ascii="宋体" w:hAnsi="宋体" w:cs="宋体"/>
                <w:kern w:val="0"/>
                <w:sz w:val="22"/>
              </w:rPr>
              <w:t>7.46</w:t>
            </w:r>
          </w:p>
        </w:tc>
        <w:tc>
          <w:tcPr>
            <w:tcW w:w="1220" w:type="dxa"/>
            <w:tcBorders>
              <w:top w:val="nil"/>
              <w:left w:val="nil"/>
              <w:bottom w:val="single" w:color="auto" w:sz="8" w:space="0"/>
              <w:right w:val="single" w:color="auto" w:sz="4" w:space="0"/>
            </w:tcBorders>
            <w:vAlign w:val="center"/>
          </w:tcPr>
          <w:p>
            <w:pPr>
              <w:widowControl/>
              <w:jc w:val="right"/>
              <w:rPr>
                <w:rFonts w:ascii="宋体" w:cs="宋体"/>
                <w:kern w:val="0"/>
                <w:sz w:val="22"/>
              </w:rPr>
            </w:pPr>
            <w:r>
              <w:rPr>
                <w:rFonts w:hint="eastAsia" w:ascii="宋体" w:hAnsi="宋体" w:cs="宋体"/>
                <w:kern w:val="0"/>
                <w:sz w:val="22"/>
              </w:rPr>
              <w:t>　</w:t>
            </w:r>
          </w:p>
        </w:tc>
        <w:tc>
          <w:tcPr>
            <w:tcW w:w="1220" w:type="dxa"/>
            <w:tcBorders>
              <w:top w:val="nil"/>
              <w:left w:val="nil"/>
              <w:bottom w:val="single" w:color="auto" w:sz="8" w:space="0"/>
              <w:right w:val="single" w:color="auto" w:sz="4" w:space="0"/>
            </w:tcBorders>
            <w:vAlign w:val="center"/>
          </w:tcPr>
          <w:p>
            <w:pPr>
              <w:widowControl/>
              <w:jc w:val="right"/>
              <w:rPr>
                <w:rFonts w:ascii="宋体" w:cs="宋体"/>
                <w:kern w:val="0"/>
                <w:sz w:val="22"/>
              </w:rPr>
            </w:pPr>
            <w:r>
              <w:rPr>
                <w:rFonts w:hint="eastAsia" w:ascii="宋体" w:hAnsi="宋体" w:cs="宋体"/>
                <w:kern w:val="0"/>
                <w:sz w:val="22"/>
              </w:rPr>
              <w:t>　</w:t>
            </w:r>
          </w:p>
        </w:tc>
        <w:tc>
          <w:tcPr>
            <w:tcW w:w="1220" w:type="dxa"/>
            <w:tcBorders>
              <w:top w:val="nil"/>
              <w:left w:val="nil"/>
              <w:bottom w:val="single" w:color="auto" w:sz="8" w:space="0"/>
              <w:right w:val="single" w:color="auto" w:sz="4" w:space="0"/>
            </w:tcBorders>
            <w:vAlign w:val="center"/>
          </w:tcPr>
          <w:p>
            <w:pPr>
              <w:widowControl/>
              <w:jc w:val="right"/>
              <w:rPr>
                <w:rFonts w:ascii="宋体" w:cs="宋体"/>
                <w:kern w:val="0"/>
                <w:sz w:val="22"/>
              </w:rPr>
            </w:pPr>
            <w:r>
              <w:rPr>
                <w:rFonts w:hint="eastAsia" w:ascii="宋体" w:hAnsi="宋体" w:cs="宋体"/>
                <w:kern w:val="0"/>
                <w:sz w:val="22"/>
              </w:rPr>
              <w:t>　</w:t>
            </w:r>
          </w:p>
        </w:tc>
        <w:tc>
          <w:tcPr>
            <w:tcW w:w="1220" w:type="dxa"/>
            <w:tcBorders>
              <w:top w:val="nil"/>
              <w:left w:val="nil"/>
              <w:bottom w:val="single" w:color="auto" w:sz="8" w:space="0"/>
              <w:right w:val="single" w:color="auto" w:sz="4" w:space="0"/>
            </w:tcBorders>
            <w:vAlign w:val="center"/>
          </w:tcPr>
          <w:p>
            <w:pPr>
              <w:widowControl/>
              <w:jc w:val="right"/>
              <w:rPr>
                <w:rFonts w:ascii="宋体" w:cs="宋体"/>
                <w:kern w:val="0"/>
                <w:sz w:val="22"/>
              </w:rPr>
            </w:pPr>
            <w:r>
              <w:rPr>
                <w:rFonts w:hint="eastAsia" w:ascii="宋体" w:hAnsi="宋体" w:cs="宋体"/>
                <w:kern w:val="0"/>
                <w:sz w:val="22"/>
              </w:rPr>
              <w:t>　</w:t>
            </w:r>
          </w:p>
        </w:tc>
        <w:tc>
          <w:tcPr>
            <w:tcW w:w="1220" w:type="dxa"/>
            <w:tcBorders>
              <w:top w:val="nil"/>
              <w:left w:val="nil"/>
              <w:bottom w:val="single" w:color="auto" w:sz="8" w:space="0"/>
              <w:right w:val="single" w:color="auto" w:sz="4" w:space="0"/>
            </w:tcBorders>
            <w:vAlign w:val="center"/>
          </w:tcPr>
          <w:p>
            <w:pPr>
              <w:widowControl/>
              <w:jc w:val="right"/>
              <w:rPr>
                <w:rFonts w:ascii="宋体" w:cs="宋体"/>
                <w:kern w:val="0"/>
                <w:sz w:val="22"/>
              </w:rPr>
            </w:pPr>
            <w:r>
              <w:rPr>
                <w:rFonts w:hint="eastAsia" w:ascii="宋体" w:hAnsi="宋体" w:cs="宋体"/>
                <w:kern w:val="0"/>
                <w:sz w:val="22"/>
              </w:rPr>
              <w:t>　</w:t>
            </w:r>
            <w:r>
              <w:rPr>
                <w:rFonts w:ascii="宋体" w:hAnsi="宋体" w:cs="宋体"/>
                <w:kern w:val="0"/>
                <w:sz w:val="22"/>
              </w:rPr>
              <w:t>7.46</w:t>
            </w:r>
          </w:p>
        </w:tc>
        <w:tc>
          <w:tcPr>
            <w:tcW w:w="1220" w:type="dxa"/>
            <w:tcBorders>
              <w:top w:val="nil"/>
              <w:left w:val="nil"/>
              <w:bottom w:val="single" w:color="auto" w:sz="8" w:space="0"/>
              <w:right w:val="single" w:color="auto" w:sz="4" w:space="0"/>
            </w:tcBorders>
            <w:vAlign w:val="center"/>
          </w:tcPr>
          <w:p>
            <w:pPr>
              <w:widowControl/>
              <w:jc w:val="right"/>
              <w:rPr>
                <w:rFonts w:ascii="宋体" w:cs="宋体"/>
                <w:kern w:val="0"/>
                <w:sz w:val="22"/>
              </w:rPr>
            </w:pPr>
            <w:r>
              <w:rPr>
                <w:rFonts w:hint="eastAsia" w:ascii="宋体" w:hAnsi="宋体" w:cs="宋体"/>
                <w:kern w:val="0"/>
                <w:sz w:val="22"/>
              </w:rPr>
              <w:t>　</w:t>
            </w:r>
            <w:r>
              <w:rPr>
                <w:rFonts w:ascii="宋体" w:hAnsi="宋体" w:cs="宋体"/>
                <w:kern w:val="0"/>
                <w:sz w:val="22"/>
              </w:rPr>
              <w:t>7.46</w:t>
            </w:r>
          </w:p>
        </w:tc>
        <w:tc>
          <w:tcPr>
            <w:tcW w:w="1220" w:type="dxa"/>
            <w:tcBorders>
              <w:top w:val="nil"/>
              <w:left w:val="nil"/>
              <w:bottom w:val="single" w:color="auto" w:sz="8" w:space="0"/>
              <w:right w:val="single" w:color="auto" w:sz="4" w:space="0"/>
            </w:tcBorders>
            <w:vAlign w:val="center"/>
          </w:tcPr>
          <w:p>
            <w:pPr>
              <w:widowControl/>
              <w:jc w:val="right"/>
              <w:rPr>
                <w:rFonts w:ascii="宋体" w:cs="宋体"/>
                <w:kern w:val="0"/>
                <w:sz w:val="22"/>
              </w:rPr>
            </w:pPr>
            <w:r>
              <w:rPr>
                <w:rFonts w:hint="eastAsia" w:ascii="宋体" w:hAnsi="宋体" w:cs="宋体"/>
                <w:kern w:val="0"/>
                <w:sz w:val="22"/>
              </w:rPr>
              <w:t>　</w:t>
            </w:r>
          </w:p>
        </w:tc>
        <w:tc>
          <w:tcPr>
            <w:tcW w:w="1220" w:type="dxa"/>
            <w:tcBorders>
              <w:top w:val="nil"/>
              <w:left w:val="nil"/>
              <w:bottom w:val="single" w:color="auto" w:sz="8" w:space="0"/>
              <w:right w:val="single" w:color="auto" w:sz="4" w:space="0"/>
            </w:tcBorders>
            <w:vAlign w:val="center"/>
          </w:tcPr>
          <w:p>
            <w:pPr>
              <w:widowControl/>
              <w:jc w:val="right"/>
              <w:rPr>
                <w:rFonts w:ascii="宋体" w:cs="宋体"/>
                <w:kern w:val="0"/>
                <w:sz w:val="22"/>
              </w:rPr>
            </w:pPr>
            <w:r>
              <w:rPr>
                <w:rFonts w:hint="eastAsia" w:ascii="宋体" w:hAnsi="宋体" w:cs="宋体"/>
                <w:kern w:val="0"/>
                <w:sz w:val="22"/>
              </w:rPr>
              <w:t>　</w:t>
            </w:r>
          </w:p>
        </w:tc>
        <w:tc>
          <w:tcPr>
            <w:tcW w:w="1220" w:type="dxa"/>
            <w:tcBorders>
              <w:top w:val="nil"/>
              <w:left w:val="nil"/>
              <w:bottom w:val="single" w:color="auto" w:sz="8" w:space="0"/>
              <w:right w:val="single" w:color="auto" w:sz="4" w:space="0"/>
            </w:tcBorders>
            <w:vAlign w:val="center"/>
          </w:tcPr>
          <w:p>
            <w:pPr>
              <w:widowControl/>
              <w:jc w:val="right"/>
              <w:rPr>
                <w:rFonts w:ascii="宋体" w:cs="宋体"/>
                <w:kern w:val="0"/>
                <w:sz w:val="22"/>
              </w:rPr>
            </w:pPr>
            <w:r>
              <w:rPr>
                <w:rFonts w:hint="eastAsia" w:ascii="宋体" w:hAnsi="宋体" w:cs="宋体"/>
                <w:kern w:val="0"/>
                <w:sz w:val="22"/>
              </w:rPr>
              <w:t>　</w:t>
            </w:r>
          </w:p>
        </w:tc>
        <w:tc>
          <w:tcPr>
            <w:tcW w:w="1220" w:type="dxa"/>
            <w:tcBorders>
              <w:top w:val="nil"/>
              <w:left w:val="nil"/>
              <w:bottom w:val="single" w:color="auto" w:sz="8" w:space="0"/>
              <w:right w:val="nil"/>
            </w:tcBorders>
            <w:vAlign w:val="center"/>
          </w:tcPr>
          <w:p>
            <w:pPr>
              <w:widowControl/>
              <w:jc w:val="right"/>
              <w:rPr>
                <w:rFonts w:ascii="宋体" w:cs="宋体"/>
                <w:kern w:val="0"/>
                <w:sz w:val="22"/>
              </w:rPr>
            </w:pPr>
            <w:r>
              <w:rPr>
                <w:rFonts w:hint="eastAsia" w:ascii="宋体" w:hAnsi="宋体" w:cs="宋体"/>
                <w:kern w:val="0"/>
                <w:sz w:val="22"/>
              </w:rPr>
              <w:t>　</w:t>
            </w:r>
          </w:p>
        </w:tc>
        <w:tc>
          <w:tcPr>
            <w:tcW w:w="1220" w:type="dxa"/>
            <w:tcBorders>
              <w:top w:val="nil"/>
              <w:left w:val="single" w:color="auto" w:sz="4" w:space="0"/>
              <w:bottom w:val="single" w:color="auto" w:sz="8" w:space="0"/>
              <w:right w:val="single" w:color="auto" w:sz="8" w:space="0"/>
            </w:tcBorders>
            <w:vAlign w:val="center"/>
          </w:tcPr>
          <w:p>
            <w:pPr>
              <w:widowControl/>
              <w:ind w:right="105"/>
              <w:jc w:val="right"/>
              <w:rPr>
                <w:rFonts w:ascii="宋体" w:cs="宋体"/>
                <w:kern w:val="0"/>
                <w:sz w:val="22"/>
              </w:rPr>
            </w:pPr>
            <w:r>
              <w:rPr>
                <w:rFonts w:ascii="宋体" w:hAnsi="宋体" w:cs="宋体"/>
                <w:kern w:val="0"/>
                <w:sz w:val="22"/>
              </w:rPr>
              <w:t>7.46</w:t>
            </w:r>
          </w:p>
        </w:tc>
      </w:tr>
    </w:tbl>
    <w:p>
      <w:pPr>
        <w:widowControl/>
        <w:jc w:val="left"/>
        <w:rPr>
          <w:rFonts w:ascii="宋体" w:cs="宋体"/>
          <w:kern w:val="0"/>
          <w:szCs w:val="21"/>
        </w:rPr>
      </w:pPr>
      <w:r>
        <w:rPr>
          <w:rFonts w:hint="eastAsia" w:ascii="宋体" w:cs="宋体"/>
          <w:kern w:val="0"/>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cs="宋体"/>
          <w:kern w:val="0"/>
          <w:szCs w:val="21"/>
        </w:rPr>
        <w:br w:type="page"/>
      </w:r>
    </w:p>
    <w:p>
      <w:pPr>
        <w:autoSpaceDE w:val="0"/>
        <w:autoSpaceDN w:val="0"/>
        <w:adjustRightInd w:val="0"/>
        <w:ind w:left="315" w:leftChars="150"/>
        <w:jc w:val="left"/>
        <w:rPr>
          <w:rFonts w:ascii="宋体" w:cs="宋体"/>
          <w:kern w:val="0"/>
          <w:sz w:val="24"/>
          <w:szCs w:val="24"/>
        </w:rPr>
      </w:pPr>
    </w:p>
    <w:p>
      <w:pPr>
        <w:widowControl/>
        <w:jc w:val="center"/>
        <w:rPr>
          <w:rFonts w:ascii="宋体" w:cs="宋体"/>
          <w:b/>
          <w:color w:val="000000"/>
          <w:kern w:val="0"/>
          <w:sz w:val="32"/>
          <w:szCs w:val="32"/>
        </w:rPr>
      </w:pPr>
      <w:r>
        <w:rPr>
          <w:rFonts w:hint="eastAsia" w:ascii="宋体" w:hAnsi="宋体" w:cs="宋体"/>
          <w:b/>
          <w:color w:val="000000"/>
          <w:kern w:val="0"/>
          <w:sz w:val="32"/>
          <w:szCs w:val="32"/>
        </w:rPr>
        <w:t>政府性基金预算财政拨款收入支出决算表</w:t>
      </w:r>
    </w:p>
    <w:p>
      <w:pPr>
        <w:widowControl/>
        <w:wordWrap w:val="0"/>
        <w:ind w:right="630"/>
        <w:jc w:val="righ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公开</w:t>
      </w:r>
      <w:r>
        <w:rPr>
          <w:rFonts w:ascii="Times New Roman" w:hAnsi="Times New Roman" w:eastAsia="仿宋_GB2312"/>
          <w:color w:val="000000"/>
          <w:kern w:val="0"/>
          <w:szCs w:val="21"/>
        </w:rPr>
        <w:t>08</w:t>
      </w:r>
      <w:r>
        <w:rPr>
          <w:rFonts w:hint="eastAsia" w:ascii="Times New Roman" w:hAnsi="Times New Roman" w:eastAsia="仿宋_GB2312"/>
          <w:color w:val="000000"/>
          <w:kern w:val="0"/>
          <w:szCs w:val="21"/>
        </w:rPr>
        <w:t>表</w:t>
      </w:r>
    </w:p>
    <w:p>
      <w:pPr>
        <w:widowControl/>
        <w:ind w:right="420" w:firstLine="420" w:firstLineChars="2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部门：沅江市国土资源局</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单位：万元</w:t>
      </w:r>
    </w:p>
    <w:tbl>
      <w:tblPr>
        <w:tblStyle w:val="5"/>
        <w:tblW w:w="144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46"/>
        <w:gridCol w:w="3620"/>
        <w:gridCol w:w="1275"/>
        <w:gridCol w:w="1701"/>
        <w:gridCol w:w="1701"/>
        <w:gridCol w:w="1505"/>
        <w:gridCol w:w="1683"/>
        <w:gridCol w:w="20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466" w:type="dxa"/>
            <w:gridSpan w:val="2"/>
            <w:vAlign w:val="center"/>
          </w:tcPr>
          <w:p>
            <w:pPr>
              <w:widowControl/>
              <w:jc w:val="center"/>
              <w:rPr>
                <w:rFonts w:ascii="宋体"/>
                <w:kern w:val="0"/>
                <w:szCs w:val="21"/>
              </w:rPr>
            </w:pPr>
            <w:r>
              <w:rPr>
                <w:rFonts w:hint="eastAsia" w:ascii="宋体" w:hAnsi="宋体"/>
                <w:kern w:val="0"/>
                <w:szCs w:val="21"/>
              </w:rPr>
              <w:t>项目</w:t>
            </w:r>
          </w:p>
        </w:tc>
        <w:tc>
          <w:tcPr>
            <w:tcW w:w="1275" w:type="dxa"/>
            <w:vMerge w:val="restart"/>
            <w:vAlign w:val="center"/>
          </w:tcPr>
          <w:p>
            <w:pPr>
              <w:widowControl/>
              <w:jc w:val="center"/>
              <w:rPr>
                <w:rFonts w:ascii="宋体"/>
                <w:kern w:val="0"/>
                <w:szCs w:val="21"/>
              </w:rPr>
            </w:pPr>
            <w:r>
              <w:rPr>
                <w:rFonts w:hint="eastAsia" w:ascii="宋体" w:hAnsi="宋体"/>
                <w:kern w:val="0"/>
                <w:szCs w:val="21"/>
              </w:rPr>
              <w:t>年初结转和结余</w:t>
            </w:r>
          </w:p>
        </w:tc>
        <w:tc>
          <w:tcPr>
            <w:tcW w:w="1701" w:type="dxa"/>
            <w:vMerge w:val="restart"/>
            <w:vAlign w:val="center"/>
          </w:tcPr>
          <w:p>
            <w:pPr>
              <w:widowControl/>
              <w:jc w:val="center"/>
              <w:rPr>
                <w:rFonts w:ascii="宋体"/>
                <w:kern w:val="0"/>
                <w:szCs w:val="21"/>
              </w:rPr>
            </w:pPr>
            <w:r>
              <w:rPr>
                <w:rFonts w:hint="eastAsia" w:ascii="宋体" w:hAnsi="宋体"/>
                <w:kern w:val="0"/>
                <w:szCs w:val="21"/>
              </w:rPr>
              <w:t>本年收入</w:t>
            </w:r>
          </w:p>
        </w:tc>
        <w:tc>
          <w:tcPr>
            <w:tcW w:w="4889" w:type="dxa"/>
            <w:gridSpan w:val="3"/>
            <w:vAlign w:val="center"/>
          </w:tcPr>
          <w:p>
            <w:pPr>
              <w:widowControl/>
              <w:jc w:val="center"/>
              <w:rPr>
                <w:rFonts w:ascii="宋体"/>
                <w:kern w:val="0"/>
                <w:szCs w:val="21"/>
              </w:rPr>
            </w:pPr>
            <w:r>
              <w:rPr>
                <w:rFonts w:hint="eastAsia" w:ascii="宋体" w:hAnsi="宋体"/>
                <w:kern w:val="0"/>
                <w:szCs w:val="21"/>
              </w:rPr>
              <w:t>本年支出</w:t>
            </w:r>
          </w:p>
        </w:tc>
        <w:tc>
          <w:tcPr>
            <w:tcW w:w="2074" w:type="dxa"/>
            <w:vMerge w:val="restart"/>
            <w:vAlign w:val="center"/>
          </w:tcPr>
          <w:p>
            <w:pPr>
              <w:widowControl/>
              <w:jc w:val="center"/>
              <w:rPr>
                <w:rFonts w:ascii="宋体"/>
                <w:kern w:val="0"/>
                <w:szCs w:val="21"/>
              </w:rPr>
            </w:pPr>
            <w:r>
              <w:rPr>
                <w:rFonts w:hint="eastAsia" w:ascii="宋体" w:hAnsi="宋体"/>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846" w:type="dxa"/>
            <w:vMerge w:val="restart"/>
            <w:vAlign w:val="center"/>
          </w:tcPr>
          <w:p>
            <w:pPr>
              <w:widowControl/>
              <w:jc w:val="center"/>
              <w:rPr>
                <w:rFonts w:ascii="宋体"/>
                <w:kern w:val="0"/>
                <w:szCs w:val="21"/>
              </w:rPr>
            </w:pPr>
            <w:r>
              <w:rPr>
                <w:rFonts w:hint="eastAsia" w:ascii="宋体" w:hAnsi="宋体"/>
                <w:kern w:val="0"/>
                <w:szCs w:val="21"/>
              </w:rPr>
              <w:t>功能分类科目编码</w:t>
            </w:r>
          </w:p>
        </w:tc>
        <w:tc>
          <w:tcPr>
            <w:tcW w:w="3620" w:type="dxa"/>
            <w:vMerge w:val="restart"/>
            <w:vAlign w:val="center"/>
          </w:tcPr>
          <w:p>
            <w:pPr>
              <w:widowControl/>
              <w:jc w:val="center"/>
              <w:rPr>
                <w:rFonts w:ascii="宋体"/>
                <w:kern w:val="0"/>
                <w:szCs w:val="21"/>
              </w:rPr>
            </w:pPr>
            <w:r>
              <w:rPr>
                <w:rFonts w:hint="eastAsia" w:ascii="宋体" w:hAnsi="宋体"/>
                <w:kern w:val="0"/>
                <w:szCs w:val="21"/>
              </w:rPr>
              <w:t>科目名称</w:t>
            </w:r>
          </w:p>
        </w:tc>
        <w:tc>
          <w:tcPr>
            <w:tcW w:w="1275" w:type="dxa"/>
            <w:vMerge w:val="continue"/>
            <w:vAlign w:val="center"/>
          </w:tcPr>
          <w:p>
            <w:pPr>
              <w:widowControl/>
              <w:jc w:val="left"/>
              <w:rPr>
                <w:rFonts w:ascii="宋体"/>
                <w:kern w:val="0"/>
                <w:szCs w:val="21"/>
              </w:rPr>
            </w:pPr>
          </w:p>
        </w:tc>
        <w:tc>
          <w:tcPr>
            <w:tcW w:w="1701" w:type="dxa"/>
            <w:vMerge w:val="continue"/>
            <w:vAlign w:val="center"/>
          </w:tcPr>
          <w:p>
            <w:pPr>
              <w:widowControl/>
              <w:jc w:val="left"/>
              <w:rPr>
                <w:rFonts w:ascii="宋体"/>
                <w:kern w:val="0"/>
                <w:szCs w:val="21"/>
              </w:rPr>
            </w:pPr>
          </w:p>
        </w:tc>
        <w:tc>
          <w:tcPr>
            <w:tcW w:w="1701" w:type="dxa"/>
            <w:vMerge w:val="restart"/>
            <w:vAlign w:val="center"/>
          </w:tcPr>
          <w:p>
            <w:pPr>
              <w:widowControl/>
              <w:jc w:val="center"/>
              <w:rPr>
                <w:rFonts w:ascii="宋体"/>
                <w:kern w:val="0"/>
                <w:szCs w:val="21"/>
              </w:rPr>
            </w:pPr>
            <w:r>
              <w:rPr>
                <w:rFonts w:hint="eastAsia" w:ascii="宋体" w:hAnsi="宋体"/>
                <w:kern w:val="0"/>
                <w:szCs w:val="21"/>
              </w:rPr>
              <w:t>小计</w:t>
            </w:r>
          </w:p>
        </w:tc>
        <w:tc>
          <w:tcPr>
            <w:tcW w:w="1505" w:type="dxa"/>
            <w:vMerge w:val="restart"/>
            <w:vAlign w:val="center"/>
          </w:tcPr>
          <w:p>
            <w:pPr>
              <w:widowControl/>
              <w:jc w:val="center"/>
              <w:rPr>
                <w:rFonts w:ascii="宋体"/>
                <w:kern w:val="0"/>
                <w:szCs w:val="21"/>
              </w:rPr>
            </w:pPr>
            <w:r>
              <w:rPr>
                <w:rFonts w:hint="eastAsia" w:ascii="宋体" w:hAnsi="宋体"/>
                <w:kern w:val="0"/>
                <w:szCs w:val="21"/>
              </w:rPr>
              <w:t>基本支出</w:t>
            </w:r>
          </w:p>
        </w:tc>
        <w:tc>
          <w:tcPr>
            <w:tcW w:w="1683" w:type="dxa"/>
            <w:vMerge w:val="restart"/>
            <w:vAlign w:val="center"/>
          </w:tcPr>
          <w:p>
            <w:pPr>
              <w:widowControl/>
              <w:jc w:val="center"/>
              <w:rPr>
                <w:rFonts w:ascii="宋体"/>
                <w:kern w:val="0"/>
                <w:szCs w:val="21"/>
              </w:rPr>
            </w:pPr>
            <w:r>
              <w:rPr>
                <w:rFonts w:hint="eastAsia" w:ascii="宋体" w:hAnsi="宋体"/>
                <w:kern w:val="0"/>
                <w:szCs w:val="21"/>
              </w:rPr>
              <w:t>项目支出</w:t>
            </w:r>
          </w:p>
        </w:tc>
        <w:tc>
          <w:tcPr>
            <w:tcW w:w="2074" w:type="dxa"/>
            <w:vMerge w:val="continue"/>
            <w:vAlign w:val="center"/>
          </w:tcPr>
          <w:p>
            <w:pPr>
              <w:widowControl/>
              <w:jc w:val="left"/>
              <w:rPr>
                <w:rFonts w:asci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46" w:type="dxa"/>
            <w:vMerge w:val="continue"/>
            <w:vAlign w:val="center"/>
          </w:tcPr>
          <w:p>
            <w:pPr>
              <w:widowControl/>
              <w:jc w:val="left"/>
              <w:rPr>
                <w:rFonts w:ascii="Times New Roman" w:hAnsi="Times New Roman" w:eastAsia="仿宋_GB2312"/>
                <w:kern w:val="0"/>
                <w:szCs w:val="21"/>
              </w:rPr>
            </w:pPr>
          </w:p>
        </w:tc>
        <w:tc>
          <w:tcPr>
            <w:tcW w:w="3620" w:type="dxa"/>
            <w:vMerge w:val="continue"/>
            <w:vAlign w:val="center"/>
          </w:tcPr>
          <w:p>
            <w:pPr>
              <w:widowControl/>
              <w:jc w:val="left"/>
              <w:rPr>
                <w:rFonts w:ascii="Times New Roman" w:hAnsi="Times New Roman" w:eastAsia="仿宋_GB2312"/>
                <w:kern w:val="0"/>
                <w:szCs w:val="21"/>
              </w:rPr>
            </w:pPr>
          </w:p>
        </w:tc>
        <w:tc>
          <w:tcPr>
            <w:tcW w:w="1275" w:type="dxa"/>
            <w:vMerge w:val="continue"/>
            <w:vAlign w:val="center"/>
          </w:tcPr>
          <w:p>
            <w:pPr>
              <w:widowControl/>
              <w:jc w:val="left"/>
              <w:rPr>
                <w:rFonts w:ascii="Times New Roman" w:hAnsi="Times New Roman" w:eastAsia="仿宋_GB2312"/>
                <w:kern w:val="0"/>
                <w:szCs w:val="21"/>
              </w:rPr>
            </w:pPr>
          </w:p>
        </w:tc>
        <w:tc>
          <w:tcPr>
            <w:tcW w:w="1701" w:type="dxa"/>
            <w:vMerge w:val="continue"/>
            <w:vAlign w:val="center"/>
          </w:tcPr>
          <w:p>
            <w:pPr>
              <w:widowControl/>
              <w:jc w:val="left"/>
              <w:rPr>
                <w:rFonts w:ascii="Times New Roman" w:hAnsi="Times New Roman" w:eastAsia="仿宋_GB2312"/>
                <w:kern w:val="0"/>
                <w:szCs w:val="21"/>
              </w:rPr>
            </w:pPr>
          </w:p>
        </w:tc>
        <w:tc>
          <w:tcPr>
            <w:tcW w:w="1701" w:type="dxa"/>
            <w:vMerge w:val="continue"/>
            <w:vAlign w:val="center"/>
          </w:tcPr>
          <w:p>
            <w:pPr>
              <w:widowControl/>
              <w:jc w:val="left"/>
              <w:rPr>
                <w:rFonts w:ascii="Times New Roman" w:hAnsi="Times New Roman" w:eastAsia="仿宋_GB2312"/>
                <w:kern w:val="0"/>
                <w:szCs w:val="21"/>
              </w:rPr>
            </w:pPr>
          </w:p>
        </w:tc>
        <w:tc>
          <w:tcPr>
            <w:tcW w:w="1505" w:type="dxa"/>
            <w:vMerge w:val="continue"/>
            <w:vAlign w:val="center"/>
          </w:tcPr>
          <w:p>
            <w:pPr>
              <w:widowControl/>
              <w:jc w:val="left"/>
              <w:rPr>
                <w:rFonts w:ascii="Times New Roman" w:hAnsi="Times New Roman" w:eastAsia="仿宋_GB2312"/>
                <w:kern w:val="0"/>
                <w:szCs w:val="21"/>
              </w:rPr>
            </w:pPr>
          </w:p>
        </w:tc>
        <w:tc>
          <w:tcPr>
            <w:tcW w:w="1683" w:type="dxa"/>
            <w:vMerge w:val="continue"/>
            <w:vAlign w:val="center"/>
          </w:tcPr>
          <w:p>
            <w:pPr>
              <w:widowControl/>
              <w:jc w:val="left"/>
              <w:rPr>
                <w:rFonts w:ascii="Times New Roman" w:hAnsi="Times New Roman" w:eastAsia="仿宋_GB2312"/>
                <w:kern w:val="0"/>
                <w:szCs w:val="21"/>
              </w:rPr>
            </w:pPr>
          </w:p>
        </w:tc>
        <w:tc>
          <w:tcPr>
            <w:tcW w:w="2074" w:type="dxa"/>
            <w:vMerge w:val="continue"/>
            <w:vAlign w:val="center"/>
          </w:tcPr>
          <w:p>
            <w:pPr>
              <w:widowControl/>
              <w:jc w:val="left"/>
              <w:rPr>
                <w:rFonts w:ascii="Times New Roman" w:hAnsi="Times New Roman"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46" w:type="dxa"/>
            <w:vMerge w:val="continue"/>
            <w:vAlign w:val="center"/>
          </w:tcPr>
          <w:p>
            <w:pPr>
              <w:widowControl/>
              <w:jc w:val="left"/>
              <w:rPr>
                <w:rFonts w:ascii="Times New Roman" w:hAnsi="Times New Roman" w:eastAsia="仿宋_GB2312"/>
                <w:kern w:val="0"/>
                <w:szCs w:val="21"/>
              </w:rPr>
            </w:pPr>
          </w:p>
        </w:tc>
        <w:tc>
          <w:tcPr>
            <w:tcW w:w="3620" w:type="dxa"/>
            <w:vMerge w:val="continue"/>
            <w:vAlign w:val="center"/>
          </w:tcPr>
          <w:p>
            <w:pPr>
              <w:widowControl/>
              <w:jc w:val="left"/>
              <w:rPr>
                <w:rFonts w:ascii="Times New Roman" w:hAnsi="Times New Roman" w:eastAsia="仿宋_GB2312"/>
                <w:kern w:val="0"/>
                <w:szCs w:val="21"/>
              </w:rPr>
            </w:pPr>
          </w:p>
        </w:tc>
        <w:tc>
          <w:tcPr>
            <w:tcW w:w="1275" w:type="dxa"/>
            <w:vMerge w:val="continue"/>
            <w:vAlign w:val="center"/>
          </w:tcPr>
          <w:p>
            <w:pPr>
              <w:widowControl/>
              <w:jc w:val="left"/>
              <w:rPr>
                <w:rFonts w:ascii="Times New Roman" w:hAnsi="Times New Roman" w:eastAsia="仿宋_GB2312"/>
                <w:kern w:val="0"/>
                <w:szCs w:val="21"/>
              </w:rPr>
            </w:pPr>
          </w:p>
        </w:tc>
        <w:tc>
          <w:tcPr>
            <w:tcW w:w="1701" w:type="dxa"/>
            <w:vMerge w:val="continue"/>
            <w:vAlign w:val="center"/>
          </w:tcPr>
          <w:p>
            <w:pPr>
              <w:widowControl/>
              <w:jc w:val="left"/>
              <w:rPr>
                <w:rFonts w:ascii="Times New Roman" w:hAnsi="Times New Roman" w:eastAsia="仿宋_GB2312"/>
                <w:kern w:val="0"/>
                <w:szCs w:val="21"/>
              </w:rPr>
            </w:pPr>
          </w:p>
        </w:tc>
        <w:tc>
          <w:tcPr>
            <w:tcW w:w="1701" w:type="dxa"/>
            <w:vMerge w:val="continue"/>
            <w:vAlign w:val="center"/>
          </w:tcPr>
          <w:p>
            <w:pPr>
              <w:widowControl/>
              <w:jc w:val="left"/>
              <w:rPr>
                <w:rFonts w:ascii="Times New Roman" w:hAnsi="Times New Roman" w:eastAsia="仿宋_GB2312"/>
                <w:kern w:val="0"/>
                <w:szCs w:val="21"/>
              </w:rPr>
            </w:pPr>
          </w:p>
        </w:tc>
        <w:tc>
          <w:tcPr>
            <w:tcW w:w="1505" w:type="dxa"/>
            <w:vMerge w:val="continue"/>
            <w:vAlign w:val="center"/>
          </w:tcPr>
          <w:p>
            <w:pPr>
              <w:widowControl/>
              <w:jc w:val="left"/>
              <w:rPr>
                <w:rFonts w:ascii="Times New Roman" w:hAnsi="Times New Roman" w:eastAsia="仿宋_GB2312"/>
                <w:kern w:val="0"/>
                <w:szCs w:val="21"/>
              </w:rPr>
            </w:pPr>
          </w:p>
        </w:tc>
        <w:tc>
          <w:tcPr>
            <w:tcW w:w="1683" w:type="dxa"/>
            <w:vMerge w:val="continue"/>
            <w:vAlign w:val="center"/>
          </w:tcPr>
          <w:p>
            <w:pPr>
              <w:widowControl/>
              <w:jc w:val="left"/>
              <w:rPr>
                <w:rFonts w:ascii="Times New Roman" w:hAnsi="Times New Roman" w:eastAsia="仿宋_GB2312"/>
                <w:kern w:val="0"/>
                <w:szCs w:val="21"/>
              </w:rPr>
            </w:pPr>
          </w:p>
        </w:tc>
        <w:tc>
          <w:tcPr>
            <w:tcW w:w="2074" w:type="dxa"/>
            <w:vMerge w:val="continue"/>
            <w:vAlign w:val="center"/>
          </w:tcPr>
          <w:p>
            <w:pPr>
              <w:widowControl/>
              <w:jc w:val="left"/>
              <w:rPr>
                <w:rFonts w:ascii="Times New Roman" w:hAnsi="Times New Roman"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466" w:type="dxa"/>
            <w:gridSpan w:val="2"/>
            <w:vAlign w:val="center"/>
          </w:tcPr>
          <w:p>
            <w:pPr>
              <w:widowControl/>
              <w:jc w:val="center"/>
              <w:rPr>
                <w:rFonts w:ascii="宋体"/>
                <w:kern w:val="0"/>
                <w:szCs w:val="21"/>
              </w:rPr>
            </w:pPr>
            <w:r>
              <w:rPr>
                <w:rFonts w:hint="eastAsia" w:ascii="宋体" w:hAnsi="宋体"/>
                <w:kern w:val="0"/>
                <w:szCs w:val="21"/>
              </w:rPr>
              <w:t>栏次</w:t>
            </w:r>
          </w:p>
        </w:tc>
        <w:tc>
          <w:tcPr>
            <w:tcW w:w="1275"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1701"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1701"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3</w:t>
            </w:r>
          </w:p>
        </w:tc>
        <w:tc>
          <w:tcPr>
            <w:tcW w:w="1505"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4</w:t>
            </w:r>
          </w:p>
        </w:tc>
        <w:tc>
          <w:tcPr>
            <w:tcW w:w="1683"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5</w:t>
            </w:r>
          </w:p>
        </w:tc>
        <w:tc>
          <w:tcPr>
            <w:tcW w:w="2074"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466" w:type="dxa"/>
            <w:gridSpan w:val="2"/>
            <w:vAlign w:val="center"/>
          </w:tcPr>
          <w:p>
            <w:pPr>
              <w:widowControl/>
              <w:jc w:val="center"/>
              <w:rPr>
                <w:rFonts w:ascii="宋体"/>
                <w:kern w:val="0"/>
                <w:sz w:val="24"/>
                <w:szCs w:val="24"/>
              </w:rPr>
            </w:pPr>
            <w:r>
              <w:rPr>
                <w:rFonts w:hint="eastAsia" w:ascii="宋体" w:hAnsi="宋体"/>
                <w:kern w:val="0"/>
                <w:sz w:val="24"/>
                <w:szCs w:val="24"/>
              </w:rPr>
              <w:t>合计</w:t>
            </w:r>
          </w:p>
        </w:tc>
        <w:tc>
          <w:tcPr>
            <w:tcW w:w="1275"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1701" w:type="dxa"/>
            <w:vAlign w:val="center"/>
          </w:tcPr>
          <w:p>
            <w:pPr>
              <w:widowControl/>
              <w:jc w:val="right"/>
              <w:rPr>
                <w:rFonts w:ascii="宋体" w:cs="宋体"/>
                <w:b/>
                <w:kern w:val="0"/>
                <w:szCs w:val="21"/>
              </w:rPr>
            </w:pPr>
            <w:r>
              <w:rPr>
                <w:rFonts w:ascii="宋体" w:hAnsi="宋体" w:cs="宋体"/>
                <w:b/>
                <w:kern w:val="0"/>
                <w:szCs w:val="21"/>
              </w:rPr>
              <w:t>1,022.67</w:t>
            </w:r>
          </w:p>
        </w:tc>
        <w:tc>
          <w:tcPr>
            <w:tcW w:w="1701" w:type="dxa"/>
            <w:vAlign w:val="center"/>
          </w:tcPr>
          <w:p>
            <w:pPr>
              <w:widowControl/>
              <w:jc w:val="right"/>
              <w:rPr>
                <w:rFonts w:ascii="宋体" w:cs="宋体"/>
                <w:b/>
                <w:kern w:val="0"/>
                <w:szCs w:val="21"/>
              </w:rPr>
            </w:pPr>
            <w:r>
              <w:rPr>
                <w:rFonts w:ascii="宋体" w:hAnsi="宋体" w:cs="宋体"/>
                <w:b/>
                <w:kern w:val="0"/>
                <w:szCs w:val="21"/>
              </w:rPr>
              <w:t>1,022.67</w:t>
            </w:r>
          </w:p>
        </w:tc>
        <w:tc>
          <w:tcPr>
            <w:tcW w:w="1505" w:type="dxa"/>
            <w:vAlign w:val="center"/>
          </w:tcPr>
          <w:p>
            <w:pPr>
              <w:widowControl/>
              <w:jc w:val="right"/>
              <w:rPr>
                <w:rFonts w:ascii="宋体" w:cs="宋体"/>
                <w:b/>
                <w:kern w:val="0"/>
                <w:szCs w:val="21"/>
              </w:rPr>
            </w:pPr>
            <w:r>
              <w:rPr>
                <w:rFonts w:ascii="宋体" w:hAnsi="宋体" w:cs="宋体"/>
                <w:b/>
                <w:kern w:val="0"/>
                <w:szCs w:val="21"/>
              </w:rPr>
              <w:t>1,022.67</w:t>
            </w:r>
          </w:p>
        </w:tc>
        <w:tc>
          <w:tcPr>
            <w:tcW w:w="1683"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2074"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46"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212</w:t>
            </w:r>
            <w:r>
              <w:rPr>
                <w:rFonts w:hint="eastAsia" w:ascii="Times New Roman" w:hAnsi="Times New Roman" w:eastAsia="仿宋_GB2312"/>
                <w:kern w:val="0"/>
                <w:szCs w:val="21"/>
              </w:rPr>
              <w:t>　</w:t>
            </w:r>
          </w:p>
        </w:tc>
        <w:tc>
          <w:tcPr>
            <w:tcW w:w="362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城乡社区支出</w:t>
            </w:r>
          </w:p>
        </w:tc>
        <w:tc>
          <w:tcPr>
            <w:tcW w:w="1275" w:type="dxa"/>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xml:space="preserve">  </w:t>
            </w:r>
          </w:p>
        </w:tc>
        <w:tc>
          <w:tcPr>
            <w:tcW w:w="1701" w:type="dxa"/>
            <w:vAlign w:val="center"/>
          </w:tcPr>
          <w:p>
            <w:pPr>
              <w:widowControl/>
              <w:jc w:val="right"/>
              <w:rPr>
                <w:rFonts w:ascii="宋体" w:cs="宋体"/>
                <w:kern w:val="0"/>
                <w:szCs w:val="21"/>
              </w:rPr>
            </w:pPr>
            <w:r>
              <w:rPr>
                <w:rFonts w:ascii="宋体" w:hAnsi="宋体" w:cs="宋体"/>
                <w:kern w:val="0"/>
                <w:szCs w:val="21"/>
              </w:rPr>
              <w:t>1,022.67</w:t>
            </w:r>
          </w:p>
        </w:tc>
        <w:tc>
          <w:tcPr>
            <w:tcW w:w="1701" w:type="dxa"/>
            <w:vAlign w:val="center"/>
          </w:tcPr>
          <w:p>
            <w:pPr>
              <w:widowControl/>
              <w:jc w:val="right"/>
              <w:rPr>
                <w:rFonts w:ascii="宋体" w:cs="宋体"/>
                <w:kern w:val="0"/>
                <w:szCs w:val="21"/>
              </w:rPr>
            </w:pPr>
            <w:r>
              <w:rPr>
                <w:rFonts w:ascii="宋体" w:hAnsi="宋体" w:cs="宋体"/>
                <w:kern w:val="0"/>
                <w:szCs w:val="21"/>
              </w:rPr>
              <w:t>1,022.67</w:t>
            </w:r>
          </w:p>
        </w:tc>
        <w:tc>
          <w:tcPr>
            <w:tcW w:w="1505" w:type="dxa"/>
            <w:vAlign w:val="center"/>
          </w:tcPr>
          <w:p>
            <w:pPr>
              <w:widowControl/>
              <w:jc w:val="right"/>
              <w:rPr>
                <w:rFonts w:ascii="宋体" w:cs="宋体"/>
                <w:kern w:val="0"/>
                <w:szCs w:val="21"/>
              </w:rPr>
            </w:pPr>
            <w:r>
              <w:rPr>
                <w:rFonts w:ascii="宋体" w:hAnsi="宋体" w:cs="宋体"/>
                <w:kern w:val="0"/>
                <w:szCs w:val="21"/>
              </w:rPr>
              <w:t>1,022.67</w:t>
            </w:r>
          </w:p>
        </w:tc>
        <w:tc>
          <w:tcPr>
            <w:tcW w:w="1683"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2074"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46"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21208</w:t>
            </w:r>
            <w:r>
              <w:rPr>
                <w:rFonts w:hint="eastAsia" w:ascii="Times New Roman" w:hAnsi="Times New Roman" w:eastAsia="仿宋_GB2312"/>
                <w:kern w:val="0"/>
                <w:szCs w:val="21"/>
              </w:rPr>
              <w:t>　</w:t>
            </w:r>
          </w:p>
        </w:tc>
        <w:tc>
          <w:tcPr>
            <w:tcW w:w="362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国有土地使用权出让收入安排的支出</w:t>
            </w:r>
          </w:p>
        </w:tc>
        <w:tc>
          <w:tcPr>
            <w:tcW w:w="1275" w:type="dxa"/>
            <w:vAlign w:val="center"/>
          </w:tcPr>
          <w:p>
            <w:pPr>
              <w:widowControl/>
              <w:jc w:val="right"/>
              <w:rPr>
                <w:rFonts w:ascii="Times New Roman" w:hAnsi="Times New Roman" w:eastAsia="仿宋_GB2312"/>
                <w:kern w:val="0"/>
                <w:szCs w:val="21"/>
              </w:rPr>
            </w:pPr>
            <w:r>
              <w:rPr>
                <w:rFonts w:ascii="Times New Roman" w:hAnsi="Times New Roman" w:eastAsia="仿宋_GB2312"/>
                <w:kern w:val="0"/>
                <w:szCs w:val="21"/>
              </w:rPr>
              <w:t xml:space="preserve"> </w:t>
            </w:r>
          </w:p>
        </w:tc>
        <w:tc>
          <w:tcPr>
            <w:tcW w:w="1701" w:type="dxa"/>
            <w:vAlign w:val="center"/>
          </w:tcPr>
          <w:p>
            <w:pPr>
              <w:widowControl/>
              <w:jc w:val="right"/>
              <w:rPr>
                <w:rFonts w:ascii="宋体" w:cs="宋体"/>
                <w:kern w:val="0"/>
                <w:szCs w:val="21"/>
              </w:rPr>
            </w:pPr>
            <w:r>
              <w:rPr>
                <w:rFonts w:ascii="宋体" w:hAnsi="宋体" w:cs="宋体"/>
                <w:kern w:val="0"/>
                <w:szCs w:val="21"/>
              </w:rPr>
              <w:t>1,022.67</w:t>
            </w:r>
          </w:p>
        </w:tc>
        <w:tc>
          <w:tcPr>
            <w:tcW w:w="1701" w:type="dxa"/>
            <w:vAlign w:val="center"/>
          </w:tcPr>
          <w:p>
            <w:pPr>
              <w:widowControl/>
              <w:jc w:val="right"/>
              <w:rPr>
                <w:rFonts w:ascii="宋体" w:cs="宋体"/>
                <w:kern w:val="0"/>
                <w:szCs w:val="21"/>
              </w:rPr>
            </w:pPr>
            <w:r>
              <w:rPr>
                <w:rFonts w:ascii="宋体" w:hAnsi="宋体" w:cs="宋体"/>
                <w:kern w:val="0"/>
                <w:szCs w:val="21"/>
              </w:rPr>
              <w:t>1,022.67</w:t>
            </w:r>
          </w:p>
        </w:tc>
        <w:tc>
          <w:tcPr>
            <w:tcW w:w="1505" w:type="dxa"/>
            <w:vAlign w:val="center"/>
          </w:tcPr>
          <w:p>
            <w:pPr>
              <w:widowControl/>
              <w:jc w:val="right"/>
              <w:rPr>
                <w:rFonts w:ascii="宋体" w:cs="宋体"/>
                <w:kern w:val="0"/>
                <w:szCs w:val="21"/>
              </w:rPr>
            </w:pPr>
            <w:r>
              <w:rPr>
                <w:rFonts w:ascii="宋体" w:hAnsi="宋体" w:cs="宋体"/>
                <w:kern w:val="0"/>
                <w:szCs w:val="21"/>
              </w:rPr>
              <w:t>1,022.67</w:t>
            </w:r>
          </w:p>
        </w:tc>
        <w:tc>
          <w:tcPr>
            <w:tcW w:w="1683"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2074"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46" w:type="dxa"/>
            <w:vAlign w:val="center"/>
          </w:tcPr>
          <w:p>
            <w:pPr>
              <w:widowControl/>
              <w:rPr>
                <w:rFonts w:ascii="Times New Roman" w:hAnsi="Times New Roman" w:eastAsia="仿宋_GB2312"/>
                <w:kern w:val="0"/>
                <w:sz w:val="18"/>
                <w:szCs w:val="18"/>
              </w:rPr>
            </w:pPr>
            <w:r>
              <w:rPr>
                <w:rFonts w:ascii="Times New Roman" w:hAnsi="Times New Roman" w:eastAsia="仿宋_GB2312"/>
                <w:kern w:val="0"/>
                <w:sz w:val="18"/>
                <w:szCs w:val="18"/>
              </w:rPr>
              <w:t>2120806</w:t>
            </w:r>
          </w:p>
        </w:tc>
        <w:tc>
          <w:tcPr>
            <w:tcW w:w="362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土地出让业务支出</w:t>
            </w:r>
          </w:p>
        </w:tc>
        <w:tc>
          <w:tcPr>
            <w:tcW w:w="1275" w:type="dxa"/>
            <w:vAlign w:val="center"/>
          </w:tcPr>
          <w:p>
            <w:pPr>
              <w:widowControl/>
              <w:wordWrap w:val="0"/>
              <w:jc w:val="right"/>
              <w:rPr>
                <w:rFonts w:ascii="宋体" w:cs="宋体"/>
                <w:kern w:val="0"/>
                <w:sz w:val="22"/>
              </w:rPr>
            </w:pPr>
            <w:r>
              <w:rPr>
                <w:rFonts w:ascii="宋体" w:hAnsi="宋体" w:cs="宋体"/>
                <w:kern w:val="0"/>
                <w:sz w:val="22"/>
              </w:rPr>
              <w:t xml:space="preserve"> </w:t>
            </w:r>
          </w:p>
        </w:tc>
        <w:tc>
          <w:tcPr>
            <w:tcW w:w="1701" w:type="dxa"/>
            <w:vAlign w:val="center"/>
          </w:tcPr>
          <w:p>
            <w:pPr>
              <w:widowControl/>
              <w:jc w:val="right"/>
              <w:rPr>
                <w:rFonts w:ascii="宋体" w:cs="宋体"/>
                <w:kern w:val="0"/>
                <w:szCs w:val="21"/>
              </w:rPr>
            </w:pPr>
            <w:r>
              <w:rPr>
                <w:rFonts w:ascii="宋体" w:hAnsi="宋体" w:cs="宋体"/>
                <w:kern w:val="0"/>
                <w:szCs w:val="21"/>
              </w:rPr>
              <w:t>1,022.67</w:t>
            </w:r>
          </w:p>
        </w:tc>
        <w:tc>
          <w:tcPr>
            <w:tcW w:w="1701" w:type="dxa"/>
            <w:vAlign w:val="center"/>
          </w:tcPr>
          <w:p>
            <w:pPr>
              <w:widowControl/>
              <w:jc w:val="right"/>
              <w:rPr>
                <w:rFonts w:ascii="宋体" w:cs="宋体"/>
                <w:kern w:val="0"/>
                <w:szCs w:val="21"/>
              </w:rPr>
            </w:pPr>
            <w:r>
              <w:rPr>
                <w:rFonts w:ascii="宋体" w:hAnsi="宋体" w:cs="宋体"/>
                <w:kern w:val="0"/>
                <w:szCs w:val="21"/>
              </w:rPr>
              <w:t>1,022.67</w:t>
            </w:r>
          </w:p>
        </w:tc>
        <w:tc>
          <w:tcPr>
            <w:tcW w:w="1505" w:type="dxa"/>
            <w:vAlign w:val="center"/>
          </w:tcPr>
          <w:p>
            <w:pPr>
              <w:widowControl/>
              <w:jc w:val="right"/>
              <w:rPr>
                <w:rFonts w:ascii="宋体" w:cs="宋体"/>
                <w:kern w:val="0"/>
                <w:szCs w:val="21"/>
              </w:rPr>
            </w:pPr>
            <w:r>
              <w:rPr>
                <w:rFonts w:ascii="宋体" w:hAnsi="宋体" w:cs="宋体"/>
                <w:kern w:val="0"/>
                <w:szCs w:val="21"/>
              </w:rPr>
              <w:t>1,022.67</w:t>
            </w:r>
          </w:p>
        </w:tc>
        <w:tc>
          <w:tcPr>
            <w:tcW w:w="1683"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2074"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46"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3620"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1275"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1701" w:type="dxa"/>
            <w:vAlign w:val="center"/>
          </w:tcPr>
          <w:p>
            <w:pPr>
              <w:widowControl/>
              <w:jc w:val="right"/>
              <w:rPr>
                <w:rFonts w:ascii="Times New Roman" w:hAnsi="Times New Roman" w:eastAsia="仿宋_GB2312"/>
                <w:kern w:val="0"/>
                <w:szCs w:val="21"/>
              </w:rPr>
            </w:pPr>
          </w:p>
        </w:tc>
        <w:tc>
          <w:tcPr>
            <w:tcW w:w="1701"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1505"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1683"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2074"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46"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3620"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1275"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1701"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1701"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1505"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1683"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2074"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46"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3620"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1275"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1701"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1701"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1505"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1683"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c>
          <w:tcPr>
            <w:tcW w:w="2074" w:type="dxa"/>
            <w:vAlign w:val="center"/>
          </w:tcPr>
          <w:p>
            <w:pPr>
              <w:widowControl/>
              <w:jc w:val="right"/>
              <w:rPr>
                <w:rFonts w:ascii="Times New Roman" w:hAnsi="Times New Roman" w:eastAsia="仿宋_GB2312"/>
                <w:kern w:val="0"/>
                <w:szCs w:val="21"/>
              </w:rPr>
            </w:pPr>
            <w:r>
              <w:rPr>
                <w:rFonts w:hint="eastAsia" w:ascii="Times New Roman" w:hAnsi="Times New Roman" w:eastAsia="仿宋_GB2312"/>
                <w:kern w:val="0"/>
                <w:szCs w:val="21"/>
              </w:rPr>
              <w:t>　</w:t>
            </w:r>
          </w:p>
        </w:tc>
      </w:tr>
    </w:tbl>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注：本表反映部门本年度政府性基金预算财政拨款收入、支出及结转和结余情况</w:t>
      </w:r>
    </w:p>
    <w:p>
      <w:pPr>
        <w:widowControl/>
        <w:jc w:val="left"/>
        <w:rPr>
          <w:rFonts w:ascii="Times New Roman" w:hAnsi="Times New Roman" w:eastAsia="仿宋_GB2312"/>
          <w:kern w:val="0"/>
          <w:szCs w:val="21"/>
        </w:rPr>
      </w:pPr>
      <w:r>
        <w:rPr>
          <w:rFonts w:ascii="Times New Roman" w:hAnsi="Times New Roman" w:eastAsia="仿宋_GB2312"/>
          <w:kern w:val="0"/>
          <w:szCs w:val="21"/>
        </w:rPr>
        <w:t>(</w:t>
      </w:r>
      <w:r>
        <w:rPr>
          <w:rFonts w:hint="eastAsia" w:ascii="Times New Roman" w:hAnsi="Times New Roman" w:eastAsia="仿宋_GB2312"/>
          <w:kern w:val="0"/>
          <w:szCs w:val="21"/>
        </w:rPr>
        <w:t>若本单位无政府性基金收支</w:t>
      </w:r>
      <w:r>
        <w:rPr>
          <w:rFonts w:ascii="Times New Roman" w:hAnsi="Times New Roman" w:eastAsia="仿宋_GB2312"/>
          <w:kern w:val="0"/>
          <w:szCs w:val="21"/>
        </w:rPr>
        <w:t>,</w:t>
      </w:r>
      <w:r>
        <w:rPr>
          <w:rFonts w:hint="eastAsia" w:ascii="Times New Roman" w:hAnsi="Times New Roman" w:eastAsia="仿宋_GB2312"/>
          <w:kern w:val="0"/>
          <w:szCs w:val="21"/>
        </w:rPr>
        <w:t>请说明：</w:t>
      </w:r>
      <w:r>
        <w:rPr>
          <w:rFonts w:ascii="Times New Roman" w:hAnsi="Times New Roman" w:eastAsia="仿宋_GB2312"/>
          <w:kern w:val="0"/>
          <w:szCs w:val="21"/>
        </w:rPr>
        <w:t>XX</w:t>
      </w:r>
      <w:r>
        <w:rPr>
          <w:rFonts w:hint="eastAsia" w:ascii="Times New Roman" w:hAnsi="Times New Roman" w:eastAsia="仿宋_GB2312"/>
          <w:kern w:val="0"/>
          <w:szCs w:val="21"/>
        </w:rPr>
        <w:t>单位没有政府性基金收入，也没有使用政府性基金安排的支出，故本表无数据</w:t>
      </w:r>
      <w:r>
        <w:rPr>
          <w:rFonts w:ascii="Times New Roman" w:hAnsi="Times New Roman" w:eastAsia="仿宋_GB2312"/>
          <w:kern w:val="0"/>
          <w:szCs w:val="21"/>
        </w:rPr>
        <w:t>)</w:t>
      </w:r>
      <w:r>
        <w:rPr>
          <w:rFonts w:hint="eastAsia" w:ascii="Times New Roman" w:hAnsi="Times New Roman" w:eastAsia="仿宋_GB2312"/>
          <w:kern w:val="0"/>
          <w:szCs w:val="21"/>
        </w:rPr>
        <w:t>。</w:t>
      </w:r>
    </w:p>
    <w:p>
      <w:pPr>
        <w:widowControl/>
        <w:jc w:val="left"/>
        <w:rPr>
          <w:rFonts w:ascii="黑体" w:hAnsi="黑体" w:eastAsia="黑体"/>
          <w:szCs w:val="21"/>
        </w:rPr>
      </w:pPr>
      <w:r>
        <w:rPr>
          <w:rFonts w:ascii="黑体" w:hAnsi="黑体" w:eastAsia="黑体"/>
          <w:szCs w:val="21"/>
        </w:rPr>
        <w:br w:type="page"/>
      </w:r>
    </w:p>
    <w:tbl>
      <w:tblPr>
        <w:tblStyle w:val="5"/>
        <w:tblW w:w="5000" w:type="pct"/>
        <w:tblInd w:w="0" w:type="dxa"/>
        <w:tblLayout w:type="autofit"/>
        <w:tblCellMar>
          <w:top w:w="0" w:type="dxa"/>
          <w:left w:w="108" w:type="dxa"/>
          <w:bottom w:w="0" w:type="dxa"/>
          <w:right w:w="108" w:type="dxa"/>
        </w:tblCellMar>
      </w:tblPr>
      <w:tblGrid>
        <w:gridCol w:w="550"/>
        <w:gridCol w:w="643"/>
        <w:gridCol w:w="3688"/>
        <w:gridCol w:w="1405"/>
        <w:gridCol w:w="1521"/>
        <w:gridCol w:w="1486"/>
        <w:gridCol w:w="1930"/>
        <w:gridCol w:w="4391"/>
      </w:tblGrid>
      <w:tr>
        <w:tblPrEx>
          <w:tblCellMar>
            <w:top w:w="0" w:type="dxa"/>
            <w:left w:w="108" w:type="dxa"/>
            <w:bottom w:w="0" w:type="dxa"/>
            <w:right w:w="108" w:type="dxa"/>
          </w:tblCellMar>
        </w:tblPrEx>
        <w:trPr>
          <w:trHeight w:val="720" w:hRule="atLeast"/>
        </w:trPr>
        <w:tc>
          <w:tcPr>
            <w:tcW w:w="5000" w:type="pct"/>
            <w:gridSpan w:val="8"/>
            <w:tcBorders>
              <w:top w:val="nil"/>
              <w:left w:val="nil"/>
              <w:bottom w:val="nil"/>
              <w:right w:val="nil"/>
            </w:tcBorders>
            <w:shd w:val="clear" w:color="000000" w:fill="FFFFFF"/>
            <w:vAlign w:val="center"/>
          </w:tcPr>
          <w:p>
            <w:pPr>
              <w:widowControl/>
              <w:jc w:val="center"/>
              <w:rPr>
                <w:rFonts w:ascii="宋体" w:cs="宋体"/>
                <w:b/>
                <w:color w:val="000000"/>
                <w:kern w:val="0"/>
                <w:sz w:val="32"/>
                <w:szCs w:val="32"/>
              </w:rPr>
            </w:pPr>
            <w:r>
              <w:rPr>
                <w:rFonts w:hint="eastAsia" w:ascii="宋体" w:hAnsi="宋体" w:cs="宋体"/>
                <w:b/>
                <w:color w:val="000000"/>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76" w:type="pct"/>
            <w:tcBorders>
              <w:top w:val="nil"/>
              <w:left w:val="nil"/>
              <w:bottom w:val="nil"/>
              <w:right w:val="nil"/>
            </w:tcBorders>
            <w:shd w:val="clear" w:color="000000" w:fill="FFFFFF"/>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206" w:type="pct"/>
            <w:tcBorders>
              <w:top w:val="nil"/>
              <w:left w:val="nil"/>
              <w:bottom w:val="nil"/>
              <w:right w:val="nil"/>
            </w:tcBorders>
            <w:shd w:val="clear" w:color="000000" w:fill="FFFFFF"/>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181" w:type="pct"/>
            <w:tcBorders>
              <w:top w:val="nil"/>
              <w:left w:val="nil"/>
              <w:bottom w:val="nil"/>
              <w:right w:val="nil"/>
            </w:tcBorders>
            <w:shd w:val="clear" w:color="000000" w:fill="FFFFFF"/>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450" w:type="pct"/>
            <w:tcBorders>
              <w:top w:val="nil"/>
              <w:left w:val="nil"/>
              <w:bottom w:val="nil"/>
              <w:right w:val="nil"/>
            </w:tcBorders>
            <w:shd w:val="clear" w:color="000000" w:fill="FFFFFF"/>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63" w:type="pct"/>
            <w:gridSpan w:val="2"/>
            <w:tcBorders>
              <w:top w:val="nil"/>
              <w:left w:val="nil"/>
              <w:bottom w:val="nil"/>
              <w:right w:val="nil"/>
            </w:tcBorders>
            <w:shd w:val="clear" w:color="000000" w:fill="FFFFFF"/>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2025" w:type="pct"/>
            <w:gridSpan w:val="2"/>
            <w:tcBorders>
              <w:top w:val="nil"/>
              <w:left w:val="nil"/>
              <w:bottom w:val="nil"/>
              <w:right w:val="nil"/>
            </w:tcBorders>
            <w:shd w:val="clear" w:color="000000" w:fill="FFFFFF"/>
            <w:noWrap/>
            <w:vAlign w:val="center"/>
          </w:tcPr>
          <w:p>
            <w:pPr>
              <w:widowControl/>
              <w:jc w:val="right"/>
              <w:rPr>
                <w:rFonts w:ascii="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1563" w:type="pct"/>
            <w:gridSpan w:val="3"/>
            <w:tcBorders>
              <w:top w:val="nil"/>
              <w:left w:val="nil"/>
              <w:bottom w:val="nil"/>
              <w:right w:val="nil"/>
            </w:tcBorders>
            <w:shd w:val="clear" w:color="000000" w:fill="FFFFFF"/>
            <w:noWrap/>
            <w:vAlign w:val="center"/>
          </w:tcPr>
          <w:p>
            <w:pPr>
              <w:widowControl/>
              <w:jc w:val="left"/>
              <w:rPr>
                <w:rFonts w:ascii="宋体" w:cs="宋体"/>
                <w:color w:val="000000"/>
                <w:kern w:val="0"/>
                <w:sz w:val="20"/>
                <w:szCs w:val="20"/>
              </w:rPr>
            </w:pPr>
          </w:p>
          <w:p>
            <w:pPr>
              <w:widowControl/>
              <w:jc w:val="center"/>
              <w:rPr>
                <w:rFonts w:ascii="宋体" w:cs="宋体"/>
                <w:kern w:val="0"/>
                <w:sz w:val="20"/>
                <w:szCs w:val="20"/>
              </w:rPr>
            </w:pPr>
            <w:r>
              <w:rPr>
                <w:rFonts w:hint="eastAsia" w:ascii="宋体" w:hAnsi="宋体" w:cs="宋体"/>
                <w:kern w:val="0"/>
                <w:sz w:val="20"/>
                <w:szCs w:val="20"/>
              </w:rPr>
              <w:t>　</w:t>
            </w:r>
          </w:p>
          <w:p>
            <w:pPr>
              <w:widowControl/>
              <w:jc w:val="left"/>
              <w:rPr>
                <w:rFonts w:ascii="宋体" w:cs="宋体"/>
                <w:kern w:val="0"/>
                <w:sz w:val="20"/>
                <w:szCs w:val="20"/>
              </w:rPr>
            </w:pPr>
            <w:r>
              <w:rPr>
                <w:rFonts w:hint="eastAsia" w:ascii="宋体" w:hAnsi="宋体" w:cs="宋体"/>
                <w:kern w:val="0"/>
                <w:sz w:val="20"/>
                <w:szCs w:val="20"/>
              </w:rPr>
              <w:t>部门：沅江市国土资源局　</w:t>
            </w:r>
            <w:r>
              <w:rPr>
                <w:rFonts w:ascii="宋体" w:hAnsi="宋体" w:cs="宋体"/>
                <w:kern w:val="0"/>
                <w:sz w:val="20"/>
                <w:szCs w:val="20"/>
              </w:rPr>
              <w:t xml:space="preserve">                      </w:t>
            </w:r>
          </w:p>
        </w:tc>
        <w:tc>
          <w:tcPr>
            <w:tcW w:w="450" w:type="pct"/>
            <w:tcBorders>
              <w:top w:val="nil"/>
              <w:left w:val="nil"/>
              <w:bottom w:val="single" w:color="auto" w:sz="8" w:space="0"/>
              <w:right w:val="nil"/>
            </w:tcBorders>
            <w:shd w:val="clear" w:color="000000" w:fill="FFFFFF"/>
            <w:vAlign w:val="center"/>
          </w:tcPr>
          <w:p>
            <w:pPr>
              <w:widowControl/>
              <w:jc w:val="left"/>
              <w:rPr>
                <w:rFonts w:ascii="宋体" w:cs="宋体"/>
                <w:kern w:val="0"/>
                <w:sz w:val="20"/>
                <w:szCs w:val="20"/>
              </w:rPr>
            </w:pPr>
            <w:r>
              <w:rPr>
                <w:rFonts w:hint="eastAsia" w:ascii="宋体" w:hAnsi="宋体" w:cs="宋体"/>
                <w:kern w:val="0"/>
                <w:sz w:val="20"/>
                <w:szCs w:val="20"/>
              </w:rPr>
              <w:t>　</w:t>
            </w:r>
          </w:p>
          <w:p>
            <w:pPr>
              <w:widowControl/>
              <w:jc w:val="left"/>
              <w:rPr>
                <w:rFonts w:ascii="宋体" w:cs="宋体"/>
                <w:kern w:val="0"/>
                <w:sz w:val="20"/>
                <w:szCs w:val="20"/>
              </w:rPr>
            </w:pPr>
          </w:p>
          <w:p>
            <w:pPr>
              <w:widowControl/>
              <w:jc w:val="left"/>
              <w:rPr>
                <w:rFonts w:ascii="宋体" w:cs="宋体"/>
                <w:kern w:val="0"/>
                <w:sz w:val="20"/>
                <w:szCs w:val="20"/>
              </w:rPr>
            </w:pPr>
          </w:p>
        </w:tc>
        <w:tc>
          <w:tcPr>
            <w:tcW w:w="963" w:type="pct"/>
            <w:gridSpan w:val="2"/>
            <w:tcBorders>
              <w:top w:val="nil"/>
              <w:left w:val="nil"/>
              <w:bottom w:val="single" w:color="auto" w:sz="8" w:space="0"/>
              <w:right w:val="nil"/>
            </w:tcBorders>
            <w:shd w:val="clear" w:color="000000" w:fill="FFFFFF"/>
            <w:vAlign w:val="center"/>
          </w:tcPr>
          <w:p>
            <w:pPr>
              <w:widowControl/>
              <w:jc w:val="left"/>
              <w:rPr>
                <w:rFonts w:ascii="宋体" w:cs="宋体"/>
                <w:kern w:val="0"/>
                <w:sz w:val="20"/>
                <w:szCs w:val="20"/>
              </w:rPr>
            </w:pPr>
            <w:r>
              <w:rPr>
                <w:rFonts w:hint="eastAsia" w:ascii="宋体" w:hAnsi="宋体" w:cs="宋体"/>
                <w:kern w:val="0"/>
                <w:sz w:val="20"/>
                <w:szCs w:val="20"/>
              </w:rPr>
              <w:t>　</w:t>
            </w:r>
          </w:p>
          <w:p>
            <w:pPr>
              <w:widowControl/>
              <w:jc w:val="left"/>
              <w:rPr>
                <w:rFonts w:ascii="宋体" w:cs="宋体"/>
                <w:kern w:val="0"/>
                <w:sz w:val="20"/>
                <w:szCs w:val="20"/>
              </w:rPr>
            </w:pPr>
          </w:p>
          <w:p>
            <w:pPr>
              <w:widowControl/>
              <w:jc w:val="left"/>
              <w:rPr>
                <w:rFonts w:ascii="宋体" w:cs="宋体"/>
                <w:kern w:val="0"/>
                <w:sz w:val="20"/>
                <w:szCs w:val="20"/>
              </w:rPr>
            </w:pPr>
          </w:p>
        </w:tc>
        <w:tc>
          <w:tcPr>
            <w:tcW w:w="2025" w:type="pct"/>
            <w:gridSpan w:val="2"/>
            <w:tcBorders>
              <w:top w:val="nil"/>
              <w:left w:val="nil"/>
              <w:bottom w:val="nil"/>
              <w:right w:val="nil"/>
            </w:tcBorders>
            <w:shd w:val="clear" w:color="000000" w:fill="FFFFFF"/>
            <w:noWrap/>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09</w:t>
            </w:r>
            <w:r>
              <w:rPr>
                <w:rFonts w:hint="eastAsia" w:ascii="宋体" w:hAnsi="宋体" w:cs="宋体"/>
                <w:color w:val="000000"/>
                <w:kern w:val="0"/>
                <w:sz w:val="20"/>
                <w:szCs w:val="20"/>
              </w:rPr>
              <w:t>表</w:t>
            </w:r>
          </w:p>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1563" w:type="pct"/>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hint="eastAsia" w:ascii="宋体" w:hAnsi="宋体" w:cs="宋体"/>
                <w:kern w:val="0"/>
                <w:sz w:val="24"/>
                <w:szCs w:val="24"/>
              </w:rPr>
              <w:t>目</w:t>
            </w:r>
          </w:p>
        </w:tc>
        <w:tc>
          <w:tcPr>
            <w:tcW w:w="3437" w:type="pct"/>
            <w:gridSpan w:val="5"/>
            <w:tcBorders>
              <w:top w:val="single" w:color="auto" w:sz="8" w:space="0"/>
              <w:left w:val="nil"/>
              <w:bottom w:val="single" w:color="auto" w:sz="4" w:space="0"/>
              <w:right w:val="single" w:color="000000" w:sz="4" w:space="0"/>
            </w:tcBorders>
            <w:vAlign w:val="center"/>
          </w:tcPr>
          <w:p>
            <w:pPr>
              <w:widowControl/>
              <w:jc w:val="center"/>
              <w:rPr>
                <w:rFonts w:ascii="宋体" w:cs="宋体"/>
                <w:kern w:val="0"/>
                <w:sz w:val="24"/>
                <w:szCs w:val="24"/>
              </w:rPr>
            </w:pPr>
            <w:r>
              <w:rPr>
                <w:rFonts w:hint="eastAsia" w:ascii="宋体" w:hAnsi="宋体" w:cs="宋体"/>
                <w:kern w:val="0"/>
                <w:sz w:val="24"/>
                <w:szCs w:val="24"/>
              </w:rPr>
              <w:t>本年支出</w:t>
            </w:r>
          </w:p>
        </w:tc>
      </w:tr>
      <w:tr>
        <w:tblPrEx>
          <w:tblCellMar>
            <w:top w:w="0" w:type="dxa"/>
            <w:left w:w="108" w:type="dxa"/>
            <w:bottom w:w="0" w:type="dxa"/>
            <w:right w:w="108" w:type="dxa"/>
          </w:tblCellMar>
        </w:tblPrEx>
        <w:trPr>
          <w:trHeight w:val="402" w:hRule="atLeast"/>
        </w:trPr>
        <w:tc>
          <w:tcPr>
            <w:tcW w:w="381" w:type="pct"/>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功能分类科目编码</w:t>
            </w:r>
          </w:p>
        </w:tc>
        <w:tc>
          <w:tcPr>
            <w:tcW w:w="1181" w:type="pct"/>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科目名称</w:t>
            </w:r>
          </w:p>
        </w:tc>
        <w:tc>
          <w:tcPr>
            <w:tcW w:w="937" w:type="pct"/>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合计</w:t>
            </w:r>
          </w:p>
        </w:tc>
        <w:tc>
          <w:tcPr>
            <w:tcW w:w="1094" w:type="pct"/>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基本支出</w:t>
            </w:r>
            <w:r>
              <w:rPr>
                <w:rFonts w:ascii="宋体" w:hAnsi="宋体" w:cs="宋体"/>
                <w:kern w:val="0"/>
                <w:sz w:val="24"/>
                <w:szCs w:val="24"/>
              </w:rPr>
              <w:t xml:space="preserve">  </w:t>
            </w:r>
          </w:p>
        </w:tc>
        <w:tc>
          <w:tcPr>
            <w:tcW w:w="1406" w:type="pct"/>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项目支出</w:t>
            </w:r>
          </w:p>
        </w:tc>
      </w:tr>
      <w:tr>
        <w:tblPrEx>
          <w:tblCellMar>
            <w:top w:w="0" w:type="dxa"/>
            <w:left w:w="108" w:type="dxa"/>
            <w:bottom w:w="0" w:type="dxa"/>
            <w:right w:w="108" w:type="dxa"/>
          </w:tblCellMar>
        </w:tblPrEx>
        <w:trPr>
          <w:trHeight w:val="402" w:hRule="atLeast"/>
        </w:trPr>
        <w:tc>
          <w:tcPr>
            <w:tcW w:w="381" w:type="pct"/>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 w:val="24"/>
                <w:szCs w:val="24"/>
              </w:rPr>
            </w:pPr>
          </w:p>
        </w:tc>
        <w:tc>
          <w:tcPr>
            <w:tcW w:w="118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937" w:type="pct"/>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szCs w:val="24"/>
              </w:rPr>
            </w:pPr>
          </w:p>
        </w:tc>
        <w:tc>
          <w:tcPr>
            <w:tcW w:w="1094" w:type="pct"/>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szCs w:val="24"/>
              </w:rPr>
            </w:pPr>
          </w:p>
        </w:tc>
        <w:tc>
          <w:tcPr>
            <w:tcW w:w="140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402" w:hRule="atLeast"/>
        </w:trPr>
        <w:tc>
          <w:tcPr>
            <w:tcW w:w="381" w:type="pct"/>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 w:val="24"/>
                <w:szCs w:val="24"/>
              </w:rPr>
            </w:pPr>
          </w:p>
        </w:tc>
        <w:tc>
          <w:tcPr>
            <w:tcW w:w="118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937" w:type="pct"/>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szCs w:val="24"/>
              </w:rPr>
            </w:pPr>
          </w:p>
        </w:tc>
        <w:tc>
          <w:tcPr>
            <w:tcW w:w="1094" w:type="pct"/>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szCs w:val="24"/>
              </w:rPr>
            </w:pPr>
          </w:p>
        </w:tc>
        <w:tc>
          <w:tcPr>
            <w:tcW w:w="140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402" w:hRule="atLeast"/>
        </w:trPr>
        <w:tc>
          <w:tcPr>
            <w:tcW w:w="1563" w:type="pct"/>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cs="宋体"/>
                <w:kern w:val="0"/>
                <w:sz w:val="24"/>
                <w:szCs w:val="24"/>
              </w:rPr>
            </w:pPr>
            <w:r>
              <w:rPr>
                <w:rFonts w:hint="eastAsia" w:ascii="宋体" w:hAnsi="宋体" w:cs="宋体"/>
                <w:kern w:val="0"/>
                <w:sz w:val="24"/>
                <w:szCs w:val="24"/>
              </w:rPr>
              <w:t>栏次</w:t>
            </w:r>
          </w:p>
        </w:tc>
        <w:tc>
          <w:tcPr>
            <w:tcW w:w="937" w:type="pct"/>
            <w:gridSpan w:val="2"/>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宋体" w:hAnsi="宋体" w:cs="宋体"/>
                <w:kern w:val="0"/>
                <w:sz w:val="24"/>
                <w:szCs w:val="24"/>
              </w:rPr>
              <w:t>1</w:t>
            </w:r>
          </w:p>
        </w:tc>
        <w:tc>
          <w:tcPr>
            <w:tcW w:w="1094" w:type="pct"/>
            <w:gridSpan w:val="2"/>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宋体" w:hAnsi="宋体" w:cs="宋体"/>
                <w:kern w:val="0"/>
                <w:sz w:val="24"/>
                <w:szCs w:val="24"/>
              </w:rPr>
              <w:t>2</w:t>
            </w:r>
          </w:p>
        </w:tc>
        <w:tc>
          <w:tcPr>
            <w:tcW w:w="1406"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宋体" w:hAnsi="宋体" w:cs="宋体"/>
                <w:kern w:val="0"/>
                <w:sz w:val="24"/>
                <w:szCs w:val="24"/>
              </w:rPr>
              <w:t>3</w:t>
            </w:r>
          </w:p>
        </w:tc>
      </w:tr>
      <w:tr>
        <w:tblPrEx>
          <w:tblCellMar>
            <w:top w:w="0" w:type="dxa"/>
            <w:left w:w="108" w:type="dxa"/>
            <w:bottom w:w="0" w:type="dxa"/>
            <w:right w:w="108" w:type="dxa"/>
          </w:tblCellMar>
        </w:tblPrEx>
        <w:trPr>
          <w:trHeight w:val="402" w:hRule="atLeast"/>
        </w:trPr>
        <w:tc>
          <w:tcPr>
            <w:tcW w:w="1563" w:type="pct"/>
            <w:gridSpan w:val="3"/>
            <w:tcBorders>
              <w:top w:val="nil"/>
              <w:left w:val="single" w:color="auto" w:sz="8" w:space="0"/>
              <w:bottom w:val="single" w:color="auto" w:sz="4" w:space="0"/>
              <w:right w:val="single" w:color="000000" w:sz="4" w:space="0"/>
            </w:tcBorders>
            <w:vAlign w:val="center"/>
          </w:tcPr>
          <w:p>
            <w:pPr>
              <w:widowControl/>
              <w:jc w:val="center"/>
              <w:rPr>
                <w:rFonts w:ascii="宋体" w:cs="宋体"/>
                <w:kern w:val="0"/>
                <w:sz w:val="24"/>
                <w:szCs w:val="24"/>
              </w:rPr>
            </w:pPr>
            <w:r>
              <w:rPr>
                <w:rFonts w:hint="eastAsia" w:ascii="宋体" w:hAnsi="宋体" w:cs="宋体"/>
                <w:kern w:val="0"/>
                <w:sz w:val="24"/>
                <w:szCs w:val="24"/>
              </w:rPr>
              <w:t>合计</w:t>
            </w:r>
          </w:p>
        </w:tc>
        <w:tc>
          <w:tcPr>
            <w:tcW w:w="937" w:type="pct"/>
            <w:gridSpan w:val="2"/>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094" w:type="pct"/>
            <w:gridSpan w:val="2"/>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406" w:type="pct"/>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381" w:type="pct"/>
            <w:gridSpan w:val="2"/>
            <w:tcBorders>
              <w:top w:val="single" w:color="auto" w:sz="4" w:space="0"/>
              <w:left w:val="single" w:color="auto" w:sz="8" w:space="0"/>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181" w:type="pct"/>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937" w:type="pct"/>
            <w:gridSpan w:val="2"/>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094" w:type="pct"/>
            <w:gridSpan w:val="2"/>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406" w:type="pct"/>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381" w:type="pct"/>
            <w:gridSpan w:val="2"/>
            <w:tcBorders>
              <w:top w:val="single" w:color="auto" w:sz="4" w:space="0"/>
              <w:left w:val="single" w:color="auto" w:sz="8" w:space="0"/>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181" w:type="pct"/>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937" w:type="pct"/>
            <w:gridSpan w:val="2"/>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094" w:type="pct"/>
            <w:gridSpan w:val="2"/>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406" w:type="pct"/>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381" w:type="pct"/>
            <w:gridSpan w:val="2"/>
            <w:tcBorders>
              <w:top w:val="single" w:color="auto" w:sz="4" w:space="0"/>
              <w:left w:val="single" w:color="auto" w:sz="8" w:space="0"/>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181" w:type="pct"/>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937" w:type="pct"/>
            <w:gridSpan w:val="2"/>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094" w:type="pct"/>
            <w:gridSpan w:val="2"/>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406" w:type="pct"/>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381" w:type="pct"/>
            <w:gridSpan w:val="2"/>
            <w:tcBorders>
              <w:top w:val="single" w:color="auto" w:sz="4" w:space="0"/>
              <w:left w:val="single" w:color="auto" w:sz="8" w:space="0"/>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181" w:type="pct"/>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937" w:type="pct"/>
            <w:gridSpan w:val="2"/>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094" w:type="pct"/>
            <w:gridSpan w:val="2"/>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406" w:type="pct"/>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381" w:type="pct"/>
            <w:gridSpan w:val="2"/>
            <w:tcBorders>
              <w:top w:val="single" w:color="auto" w:sz="4" w:space="0"/>
              <w:left w:val="single" w:color="auto" w:sz="8" w:space="0"/>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181" w:type="pct"/>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937" w:type="pct"/>
            <w:gridSpan w:val="2"/>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094" w:type="pct"/>
            <w:gridSpan w:val="2"/>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406" w:type="pct"/>
            <w:tcBorders>
              <w:top w:val="nil"/>
              <w:left w:val="nil"/>
              <w:bottom w:val="single" w:color="auto" w:sz="4"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381" w:type="pct"/>
            <w:gridSpan w:val="2"/>
            <w:tcBorders>
              <w:top w:val="single" w:color="auto" w:sz="4" w:space="0"/>
              <w:left w:val="single" w:color="auto" w:sz="8" w:space="0"/>
              <w:bottom w:val="single" w:color="auto" w:sz="8"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181" w:type="pct"/>
            <w:tcBorders>
              <w:top w:val="nil"/>
              <w:left w:val="nil"/>
              <w:bottom w:val="single" w:color="auto" w:sz="8"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937" w:type="pct"/>
            <w:gridSpan w:val="2"/>
            <w:tcBorders>
              <w:top w:val="nil"/>
              <w:left w:val="nil"/>
              <w:bottom w:val="single" w:color="auto" w:sz="8"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094" w:type="pct"/>
            <w:gridSpan w:val="2"/>
            <w:tcBorders>
              <w:top w:val="nil"/>
              <w:left w:val="nil"/>
              <w:bottom w:val="single" w:color="auto" w:sz="8"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406" w:type="pct"/>
            <w:tcBorders>
              <w:top w:val="nil"/>
              <w:left w:val="nil"/>
              <w:bottom w:val="single" w:color="auto" w:sz="8" w:space="0"/>
              <w:right w:val="single" w:color="auto" w:sz="4" w:space="0"/>
            </w:tcBorders>
            <w:vAlign w:val="center"/>
          </w:tcPr>
          <w:p>
            <w:pPr>
              <w:widowControl/>
              <w:jc w:val="right"/>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720" w:hRule="atLeast"/>
        </w:trPr>
        <w:tc>
          <w:tcPr>
            <w:tcW w:w="5000" w:type="pct"/>
            <w:gridSpan w:val="8"/>
            <w:tcBorders>
              <w:top w:val="single" w:color="auto" w:sz="8" w:space="0"/>
              <w:left w:val="nil"/>
              <w:bottom w:val="nil"/>
              <w:right w:val="nil"/>
            </w:tcBorders>
            <w:vAlign w:val="center"/>
          </w:tcPr>
          <w:p>
            <w:pPr>
              <w:widowControl/>
              <w:jc w:val="left"/>
              <w:rPr>
                <w:rFonts w:ascii="宋体" w:cs="宋体"/>
                <w:kern w:val="0"/>
                <w:sz w:val="24"/>
                <w:szCs w:val="24"/>
              </w:rPr>
            </w:pPr>
            <w:r>
              <w:rPr>
                <w:rFonts w:hint="eastAsia" w:ascii="宋体" w:hAnsi="宋体" w:cs="宋体"/>
                <w:kern w:val="0"/>
                <w:sz w:val="24"/>
                <w:szCs w:val="24"/>
              </w:rPr>
              <w:t>注：本表反映部门本年度国有资本经营预算财政拨款支出情况。</w:t>
            </w:r>
          </w:p>
        </w:tc>
      </w:tr>
    </w:tbl>
    <w:p>
      <w:pPr>
        <w:pStyle w:val="9"/>
        <w:rPr>
          <w:sz w:val="72"/>
          <w:szCs w:val="72"/>
        </w:rPr>
        <w:sectPr>
          <w:pgSz w:w="16838" w:h="11906" w:orient="landscape"/>
          <w:pgMar w:top="426" w:right="720" w:bottom="568" w:left="720" w:header="851" w:footer="992" w:gutter="0"/>
          <w:cols w:space="425" w:num="1"/>
          <w:docGrid w:type="lines" w:linePitch="312" w:charSpace="0"/>
        </w:sectPr>
      </w:pPr>
    </w:p>
    <w:p>
      <w:pPr>
        <w:pStyle w:val="9"/>
        <w:jc w:val="right"/>
        <w:rPr>
          <w:sz w:val="72"/>
          <w:szCs w:val="72"/>
        </w:rPr>
      </w:pPr>
    </w:p>
    <w:p>
      <w:pPr>
        <w:pStyle w:val="9"/>
        <w:jc w:val="right"/>
        <w:rPr>
          <w:sz w:val="72"/>
          <w:szCs w:val="72"/>
        </w:rPr>
      </w:pPr>
    </w:p>
    <w:p>
      <w:pPr>
        <w:pStyle w:val="9"/>
        <w:jc w:val="right"/>
        <w:rPr>
          <w:sz w:val="72"/>
          <w:szCs w:val="72"/>
        </w:rPr>
      </w:pPr>
    </w:p>
    <w:p>
      <w:pPr>
        <w:pStyle w:val="9"/>
        <w:jc w:val="right"/>
        <w:rPr>
          <w:sz w:val="72"/>
          <w:szCs w:val="72"/>
        </w:rPr>
      </w:pPr>
    </w:p>
    <w:p>
      <w:pPr>
        <w:pStyle w:val="9"/>
        <w:jc w:val="right"/>
        <w:rPr>
          <w:sz w:val="72"/>
          <w:szCs w:val="72"/>
        </w:rPr>
      </w:pPr>
    </w:p>
    <w:p>
      <w:pPr>
        <w:pStyle w:val="9"/>
        <w:jc w:val="right"/>
        <w:rPr>
          <w:b/>
          <w:sz w:val="44"/>
          <w:szCs w:val="44"/>
        </w:rPr>
      </w:pPr>
    </w:p>
    <w:p>
      <w:pPr>
        <w:pStyle w:val="9"/>
        <w:jc w:val="right"/>
        <w:rPr>
          <w:b/>
          <w:sz w:val="44"/>
          <w:szCs w:val="44"/>
        </w:rPr>
      </w:pPr>
    </w:p>
    <w:p>
      <w:pPr>
        <w:pStyle w:val="9"/>
        <w:jc w:val="right"/>
        <w:rPr>
          <w:b/>
          <w:sz w:val="44"/>
          <w:szCs w:val="44"/>
        </w:rPr>
      </w:pPr>
    </w:p>
    <w:p>
      <w:pPr>
        <w:jc w:val="center"/>
        <w:rPr>
          <w:b/>
          <w:sz w:val="44"/>
          <w:szCs w:val="44"/>
        </w:rPr>
      </w:pPr>
      <w:r>
        <w:rPr>
          <w:rFonts w:hint="eastAsia"/>
          <w:b/>
          <w:sz w:val="44"/>
          <w:szCs w:val="44"/>
        </w:rPr>
        <w:t>第三部分</w:t>
      </w:r>
    </w:p>
    <w:p>
      <w:pPr>
        <w:spacing w:line="160" w:lineRule="exact"/>
        <w:jc w:val="center"/>
        <w:rPr>
          <w:b/>
          <w:sz w:val="44"/>
          <w:szCs w:val="44"/>
        </w:rPr>
      </w:pPr>
    </w:p>
    <w:p>
      <w:pPr>
        <w:jc w:val="center"/>
        <w:rPr>
          <w:b/>
          <w:sz w:val="44"/>
          <w:szCs w:val="44"/>
        </w:rPr>
      </w:pPr>
      <w:r>
        <w:rPr>
          <w:b/>
          <w:sz w:val="44"/>
          <w:szCs w:val="44"/>
        </w:rPr>
        <w:t>2020</w:t>
      </w:r>
      <w:r>
        <w:rPr>
          <w:rFonts w:hint="eastAsia"/>
          <w:b/>
          <w:sz w:val="44"/>
          <w:szCs w:val="44"/>
        </w:rPr>
        <w:t>年度部门决算情况说明</w:t>
      </w:r>
    </w:p>
    <w:p>
      <w:pPr>
        <w:jc w:val="center"/>
        <w:rPr>
          <w:sz w:val="44"/>
          <w:szCs w:val="44"/>
        </w:rPr>
      </w:pPr>
      <w:r>
        <w:br w:type="page"/>
      </w:r>
    </w:p>
    <w:p>
      <w:pPr>
        <w:pStyle w:val="9"/>
        <w:spacing w:line="360" w:lineRule="auto"/>
        <w:rPr>
          <w:rFonts w:ascii="仿宋_GB2312" w:hAnsi="仿宋_GB2312" w:eastAsia="宋体" w:cs="仿宋_GB2312"/>
          <w:b/>
        </w:rPr>
      </w:pPr>
      <w:r>
        <w:rPr>
          <w:rFonts w:hint="eastAsia" w:ascii="仿宋_GB2312" w:hAnsi="仿宋_GB2312" w:eastAsia="宋体" w:cs="仿宋_GB2312"/>
          <w:b/>
        </w:rPr>
        <w:t>一、收入支出决算总体情况说明</w:t>
      </w:r>
    </w:p>
    <w:p>
      <w:pPr>
        <w:pStyle w:val="9"/>
        <w:spacing w:line="360" w:lineRule="auto"/>
        <w:ind w:firstLine="480" w:firstLineChars="200"/>
        <w:rPr>
          <w:rFonts w:ascii="仿宋_GB2312" w:hAnsi="仿宋_GB2312" w:eastAsia="宋体" w:cs="仿宋_GB2312"/>
        </w:rPr>
      </w:pPr>
      <w:r>
        <w:rPr>
          <w:rFonts w:ascii="仿宋_GB2312" w:hAnsi="仿宋_GB2312" w:eastAsia="宋体" w:cs="仿宋_GB2312"/>
        </w:rPr>
        <w:t>2020</w:t>
      </w:r>
      <w:r>
        <w:rPr>
          <w:rFonts w:hint="eastAsia" w:ascii="仿宋_GB2312" w:hAnsi="仿宋_GB2312" w:eastAsia="宋体" w:cs="仿宋_GB2312"/>
        </w:rPr>
        <w:t>年度收、支总计</w:t>
      </w:r>
      <w:r>
        <w:rPr>
          <w:rFonts w:ascii="仿宋_GB2312" w:hAnsi="仿宋_GB2312" w:eastAsia="宋体" w:cs="仿宋_GB2312"/>
        </w:rPr>
        <w:t>5332.12</w:t>
      </w:r>
      <w:r>
        <w:rPr>
          <w:rFonts w:hint="eastAsia" w:ascii="仿宋_GB2312" w:hAnsi="仿宋_GB2312" w:eastAsia="宋体" w:cs="仿宋_GB2312"/>
        </w:rPr>
        <w:t>万元。与上年相比，减少</w:t>
      </w:r>
      <w:r>
        <w:rPr>
          <w:rFonts w:ascii="仿宋_GB2312" w:hAnsi="仿宋_GB2312" w:eastAsia="宋体" w:cs="仿宋_GB2312"/>
        </w:rPr>
        <w:t>151.41</w:t>
      </w:r>
      <w:r>
        <w:rPr>
          <w:rFonts w:hint="eastAsia" w:ascii="仿宋_GB2312" w:hAnsi="仿宋_GB2312" w:eastAsia="宋体" w:cs="仿宋_GB2312"/>
        </w:rPr>
        <w:t>万元，减少</w:t>
      </w:r>
      <w:r>
        <w:rPr>
          <w:rFonts w:ascii="仿宋_GB2312" w:hAnsi="仿宋_GB2312" w:eastAsia="宋体" w:cs="仿宋_GB2312"/>
        </w:rPr>
        <w:t>2.76%</w:t>
      </w:r>
      <w:r>
        <w:rPr>
          <w:rFonts w:hint="eastAsia" w:ascii="仿宋_GB2312" w:hAnsi="仿宋_GB2312" w:eastAsia="宋体" w:cs="仿宋_GB2312"/>
        </w:rPr>
        <w:t>，主要是因为政府性基金预算财政拨款收、支减少。</w:t>
      </w:r>
    </w:p>
    <w:p>
      <w:pPr>
        <w:pStyle w:val="9"/>
        <w:spacing w:line="360" w:lineRule="auto"/>
        <w:rPr>
          <w:rFonts w:ascii="仿宋_GB2312" w:hAnsi="仿宋_GB2312" w:eastAsia="宋体" w:cs="仿宋_GB2312"/>
          <w:b/>
        </w:rPr>
      </w:pPr>
      <w:r>
        <w:rPr>
          <w:rFonts w:hint="eastAsia" w:ascii="仿宋_GB2312" w:hAnsi="仿宋_GB2312" w:eastAsia="宋体" w:cs="仿宋_GB2312"/>
          <w:b/>
        </w:rPr>
        <w:t>二、收入决算情况说明</w:t>
      </w:r>
    </w:p>
    <w:p>
      <w:pPr>
        <w:pStyle w:val="9"/>
        <w:spacing w:line="360" w:lineRule="auto"/>
        <w:ind w:firstLine="480" w:firstLineChars="200"/>
        <w:rPr>
          <w:rFonts w:ascii="仿宋_GB2312" w:hAnsi="仿宋_GB2312" w:eastAsia="宋体" w:cs="仿宋_GB2312"/>
        </w:rPr>
      </w:pPr>
      <w:r>
        <w:rPr>
          <w:rFonts w:hint="eastAsia" w:ascii="仿宋_GB2312" w:hAnsi="仿宋_GB2312" w:eastAsia="宋体" w:cs="仿宋_GB2312"/>
        </w:rPr>
        <w:t>本年收入合计</w:t>
      </w:r>
      <w:r>
        <w:rPr>
          <w:rFonts w:ascii="仿宋_GB2312" w:hAnsi="仿宋_GB2312" w:eastAsia="宋体" w:cs="仿宋_GB2312"/>
        </w:rPr>
        <w:t>4160.36</w:t>
      </w:r>
      <w:r>
        <w:rPr>
          <w:rFonts w:hint="eastAsia" w:ascii="仿宋_GB2312" w:hAnsi="仿宋_GB2312" w:eastAsia="宋体" w:cs="仿宋_GB2312"/>
        </w:rPr>
        <w:t>万元，其中：财政拨款收入</w:t>
      </w:r>
      <w:r>
        <w:rPr>
          <w:rFonts w:ascii="仿宋_GB2312" w:hAnsi="仿宋_GB2312" w:eastAsia="宋体" w:cs="仿宋_GB2312"/>
        </w:rPr>
        <w:t>3701.72</w:t>
      </w:r>
      <w:r>
        <w:rPr>
          <w:rFonts w:hint="eastAsia" w:ascii="仿宋_GB2312" w:hAnsi="仿宋_GB2312" w:eastAsia="宋体" w:cs="仿宋_GB2312"/>
        </w:rPr>
        <w:t>万元，占</w:t>
      </w:r>
      <w:r>
        <w:rPr>
          <w:rFonts w:ascii="仿宋_GB2312" w:hAnsi="仿宋_GB2312" w:eastAsia="宋体" w:cs="仿宋_GB2312"/>
        </w:rPr>
        <w:t>88.98%</w:t>
      </w:r>
      <w:r>
        <w:rPr>
          <w:rFonts w:hint="eastAsia" w:ascii="仿宋_GB2312" w:hAnsi="仿宋_GB2312" w:eastAsia="宋体" w:cs="仿宋_GB2312"/>
        </w:rPr>
        <w:t>；事业收入</w:t>
      </w:r>
      <w:r>
        <w:rPr>
          <w:rFonts w:ascii="仿宋_GB2312" w:hAnsi="仿宋_GB2312" w:eastAsia="宋体" w:cs="仿宋_GB2312"/>
        </w:rPr>
        <w:t>87.90</w:t>
      </w:r>
      <w:r>
        <w:rPr>
          <w:rFonts w:hint="eastAsia" w:ascii="仿宋_GB2312" w:hAnsi="仿宋_GB2312" w:eastAsia="宋体" w:cs="仿宋_GB2312"/>
        </w:rPr>
        <w:t>万元，</w:t>
      </w:r>
    </w:p>
    <w:p>
      <w:pPr>
        <w:pStyle w:val="9"/>
        <w:spacing w:line="360" w:lineRule="auto"/>
        <w:rPr>
          <w:rFonts w:ascii="宋体" w:hAnsi="宋体" w:eastAsia="宋体"/>
        </w:rPr>
      </w:pPr>
      <w:r>
        <w:rPr>
          <w:rFonts w:hint="eastAsia" w:ascii="仿宋_GB2312" w:hAnsi="仿宋_GB2312" w:eastAsia="宋体" w:cs="仿宋_GB2312"/>
        </w:rPr>
        <w:t>占</w:t>
      </w:r>
      <w:r>
        <w:rPr>
          <w:rFonts w:ascii="仿宋_GB2312" w:hAnsi="仿宋_GB2312" w:eastAsia="宋体" w:cs="仿宋_GB2312"/>
        </w:rPr>
        <w:t>2.11%</w:t>
      </w:r>
      <w:r>
        <w:rPr>
          <w:rFonts w:hint="eastAsia" w:ascii="仿宋_GB2312" w:hAnsi="仿宋_GB2312" w:eastAsia="宋体" w:cs="仿宋_GB2312"/>
        </w:rPr>
        <w:t>；其他收入</w:t>
      </w:r>
      <w:r>
        <w:rPr>
          <w:rFonts w:ascii="仿宋_GB2312" w:hAnsi="仿宋_GB2312" w:eastAsia="宋体" w:cs="仿宋_GB2312"/>
        </w:rPr>
        <w:t>370.37</w:t>
      </w:r>
      <w:r>
        <w:rPr>
          <w:rFonts w:hint="eastAsia" w:ascii="仿宋_GB2312" w:hAnsi="仿宋_GB2312" w:eastAsia="宋体" w:cs="仿宋_GB2312"/>
        </w:rPr>
        <w:t>万元，占</w:t>
      </w:r>
      <w:r>
        <w:rPr>
          <w:rFonts w:ascii="仿宋_GB2312" w:hAnsi="仿宋_GB2312" w:eastAsia="宋体" w:cs="仿宋_GB2312"/>
        </w:rPr>
        <w:t>8.91%</w:t>
      </w:r>
      <w:r>
        <w:rPr>
          <w:rFonts w:hint="eastAsia" w:ascii="仿宋_GB2312" w:hAnsi="仿宋_GB2312" w:eastAsia="宋体" w:cs="仿宋_GB2312"/>
        </w:rPr>
        <w:t>。</w:t>
      </w:r>
    </w:p>
    <w:p>
      <w:pPr>
        <w:pStyle w:val="9"/>
        <w:spacing w:line="360" w:lineRule="auto"/>
        <w:rPr>
          <w:rFonts w:ascii="仿宋_GB2312" w:hAnsi="仿宋_GB2312" w:eastAsia="宋体" w:cs="仿宋_GB2312"/>
          <w:b/>
        </w:rPr>
      </w:pPr>
      <w:r>
        <w:rPr>
          <w:rFonts w:hint="eastAsia" w:ascii="仿宋_GB2312" w:hAnsi="仿宋_GB2312" w:eastAsia="宋体" w:cs="仿宋_GB2312"/>
          <w:b/>
        </w:rPr>
        <w:t>三、支出决算情况说明</w:t>
      </w:r>
    </w:p>
    <w:p>
      <w:pPr>
        <w:pStyle w:val="9"/>
        <w:spacing w:line="360" w:lineRule="auto"/>
        <w:ind w:firstLine="480" w:firstLineChars="200"/>
        <w:rPr>
          <w:rFonts w:ascii="仿宋_GB2312" w:hAnsi="仿宋_GB2312" w:eastAsia="宋体" w:cs="仿宋_GB2312"/>
        </w:rPr>
      </w:pPr>
      <w:r>
        <w:rPr>
          <w:rFonts w:hint="eastAsia" w:ascii="仿宋_GB2312" w:hAnsi="仿宋_GB2312" w:eastAsia="宋体" w:cs="仿宋_GB2312"/>
        </w:rPr>
        <w:t>本年支出合计</w:t>
      </w:r>
      <w:r>
        <w:rPr>
          <w:rFonts w:ascii="仿宋_GB2312" w:hAnsi="仿宋_GB2312" w:eastAsia="宋体" w:cs="仿宋_GB2312"/>
        </w:rPr>
        <w:t>4539.58</w:t>
      </w:r>
      <w:r>
        <w:rPr>
          <w:rFonts w:hint="eastAsia" w:ascii="仿宋_GB2312" w:hAnsi="仿宋_GB2312" w:eastAsia="宋体" w:cs="仿宋_GB2312"/>
        </w:rPr>
        <w:t>万元，其中：基本支出</w:t>
      </w:r>
      <w:r>
        <w:rPr>
          <w:rFonts w:ascii="仿宋_GB2312" w:hAnsi="仿宋_GB2312" w:eastAsia="宋体" w:cs="仿宋_GB2312"/>
        </w:rPr>
        <w:t>2673.19</w:t>
      </w:r>
      <w:r>
        <w:rPr>
          <w:rFonts w:hint="eastAsia" w:ascii="仿宋_GB2312" w:hAnsi="仿宋_GB2312" w:eastAsia="宋体" w:cs="仿宋_GB2312"/>
        </w:rPr>
        <w:t>万元，占</w:t>
      </w:r>
      <w:r>
        <w:rPr>
          <w:rFonts w:ascii="仿宋_GB2312" w:hAnsi="仿宋_GB2312" w:eastAsia="宋体" w:cs="仿宋_GB2312"/>
        </w:rPr>
        <w:t>58.89%</w:t>
      </w:r>
      <w:r>
        <w:rPr>
          <w:rFonts w:hint="eastAsia" w:ascii="仿宋_GB2312" w:hAnsi="仿宋_GB2312" w:eastAsia="宋体" w:cs="仿宋_GB2312"/>
        </w:rPr>
        <w:t>；项目支出</w:t>
      </w:r>
      <w:r>
        <w:rPr>
          <w:rFonts w:ascii="仿宋_GB2312" w:hAnsi="仿宋_GB2312" w:eastAsia="宋体" w:cs="仿宋_GB2312"/>
        </w:rPr>
        <w:t>1866.39</w:t>
      </w:r>
      <w:r>
        <w:rPr>
          <w:rFonts w:hint="eastAsia" w:ascii="仿宋_GB2312" w:hAnsi="仿宋_GB2312" w:eastAsia="宋体" w:cs="仿宋_GB2312"/>
        </w:rPr>
        <w:t>万元，占</w:t>
      </w:r>
      <w:r>
        <w:rPr>
          <w:rFonts w:ascii="仿宋_GB2312" w:hAnsi="仿宋_GB2312" w:eastAsia="宋体" w:cs="仿宋_GB2312"/>
        </w:rPr>
        <w:t>41.11%</w:t>
      </w:r>
      <w:r>
        <w:rPr>
          <w:rFonts w:hint="eastAsia" w:ascii="仿宋_GB2312" w:hAnsi="仿宋_GB2312" w:eastAsia="宋体" w:cs="仿宋_GB2312"/>
        </w:rPr>
        <w:t>。</w:t>
      </w:r>
      <w:r>
        <w:rPr>
          <w:rFonts w:ascii="仿宋_GB2312" w:hAnsi="仿宋_GB2312" w:eastAsia="宋体" w:cs="仿宋_GB2312"/>
        </w:rPr>
        <w:t xml:space="preserve"> </w:t>
      </w:r>
    </w:p>
    <w:p>
      <w:pPr>
        <w:pStyle w:val="9"/>
        <w:spacing w:line="360" w:lineRule="auto"/>
        <w:rPr>
          <w:rFonts w:ascii="仿宋_GB2312" w:hAnsi="仿宋_GB2312" w:eastAsia="宋体" w:cs="仿宋_GB2312"/>
          <w:b/>
        </w:rPr>
      </w:pPr>
      <w:r>
        <w:rPr>
          <w:rFonts w:hint="eastAsia" w:ascii="仿宋_GB2312" w:hAnsi="仿宋_GB2312" w:eastAsia="宋体" w:cs="仿宋_GB2312"/>
          <w:b/>
        </w:rPr>
        <w:t>四、财政拨款收入支出决算总体情况说明</w:t>
      </w:r>
    </w:p>
    <w:p>
      <w:pPr>
        <w:pStyle w:val="9"/>
        <w:spacing w:line="360" w:lineRule="auto"/>
        <w:ind w:firstLine="480" w:firstLineChars="200"/>
        <w:rPr>
          <w:rFonts w:ascii="仿宋_GB2312" w:hAnsi="仿宋_GB2312" w:eastAsia="宋体" w:cs="仿宋_GB2312"/>
        </w:rPr>
      </w:pPr>
      <w:r>
        <w:rPr>
          <w:rFonts w:ascii="仿宋_GB2312" w:hAnsi="仿宋_GB2312" w:eastAsia="宋体" w:cs="仿宋_GB2312"/>
        </w:rPr>
        <w:t>2020</w:t>
      </w:r>
      <w:r>
        <w:rPr>
          <w:rFonts w:hint="eastAsia" w:ascii="仿宋_GB2312" w:hAnsi="仿宋_GB2312" w:eastAsia="宋体" w:cs="仿宋_GB2312"/>
        </w:rPr>
        <w:t>年度财政拨款收、支总计</w:t>
      </w:r>
      <w:r>
        <w:rPr>
          <w:rFonts w:ascii="仿宋_GB2312" w:hAnsi="仿宋_GB2312" w:eastAsia="宋体" w:cs="仿宋_GB2312"/>
        </w:rPr>
        <w:t>4258.97</w:t>
      </w:r>
      <w:r>
        <w:rPr>
          <w:rFonts w:hint="eastAsia" w:ascii="仿宋_GB2312" w:hAnsi="仿宋_GB2312" w:eastAsia="宋体" w:cs="仿宋_GB2312"/>
        </w:rPr>
        <w:t>万元，与上年相比，减少</w:t>
      </w:r>
      <w:r>
        <w:rPr>
          <w:rFonts w:ascii="仿宋_GB2312" w:hAnsi="仿宋_GB2312" w:eastAsia="宋体" w:cs="仿宋_GB2312"/>
        </w:rPr>
        <w:t>310.92</w:t>
      </w:r>
      <w:r>
        <w:rPr>
          <w:rFonts w:hint="eastAsia" w:ascii="仿宋_GB2312" w:hAnsi="仿宋_GB2312" w:eastAsia="宋体" w:cs="仿宋_GB2312"/>
        </w:rPr>
        <w:t>万元</w:t>
      </w:r>
      <w:r>
        <w:rPr>
          <w:rFonts w:ascii="仿宋_GB2312" w:hAnsi="仿宋_GB2312" w:eastAsia="宋体" w:cs="仿宋_GB2312"/>
        </w:rPr>
        <w:t>,</w:t>
      </w:r>
      <w:r>
        <w:rPr>
          <w:rFonts w:hint="eastAsia" w:ascii="仿宋_GB2312" w:hAnsi="仿宋_GB2312" w:eastAsia="宋体" w:cs="仿宋_GB2312"/>
        </w:rPr>
        <w:t>减少</w:t>
      </w:r>
      <w:r>
        <w:rPr>
          <w:rFonts w:ascii="仿宋_GB2312" w:hAnsi="仿宋_GB2312" w:eastAsia="宋体" w:cs="仿宋_GB2312"/>
        </w:rPr>
        <w:t>6.80%</w:t>
      </w:r>
      <w:r>
        <w:rPr>
          <w:rFonts w:hint="eastAsia" w:ascii="仿宋_GB2312" w:hAnsi="仿宋_GB2312" w:eastAsia="宋体" w:cs="仿宋_GB2312"/>
        </w:rPr>
        <w:t>，主要是因为政府性基金预算财政拨款收、支减少。</w:t>
      </w:r>
    </w:p>
    <w:p>
      <w:pPr>
        <w:pStyle w:val="9"/>
        <w:spacing w:line="360" w:lineRule="auto"/>
        <w:rPr>
          <w:rFonts w:ascii="仿宋_GB2312" w:hAnsi="仿宋_GB2312" w:eastAsia="宋体" w:cs="仿宋_GB2312"/>
          <w:b/>
        </w:rPr>
      </w:pPr>
      <w:r>
        <w:rPr>
          <w:rFonts w:hint="eastAsia" w:ascii="仿宋_GB2312" w:hAnsi="仿宋_GB2312" w:eastAsia="宋体" w:cs="仿宋_GB2312"/>
          <w:b/>
        </w:rPr>
        <w:t>五、一般公共预算财政拨款支出决算情况说明</w:t>
      </w:r>
    </w:p>
    <w:p>
      <w:pPr>
        <w:pStyle w:val="9"/>
        <w:spacing w:line="360" w:lineRule="auto"/>
        <w:ind w:firstLine="352" w:firstLineChars="147"/>
        <w:rPr>
          <w:rFonts w:ascii="仿宋_GB2312" w:hAnsi="仿宋_GB2312" w:eastAsia="宋体" w:cs="仿宋_GB2312"/>
        </w:rPr>
      </w:pPr>
      <w:r>
        <w:rPr>
          <w:rFonts w:hint="eastAsia" w:ascii="仿宋_GB2312" w:hAnsi="仿宋_GB2312" w:eastAsia="宋体" w:cs="仿宋_GB2312"/>
        </w:rPr>
        <w:t>（一）财政拨款支出决算总体情况</w:t>
      </w:r>
    </w:p>
    <w:p>
      <w:pPr>
        <w:pStyle w:val="9"/>
        <w:spacing w:line="360" w:lineRule="auto"/>
        <w:ind w:firstLine="480" w:firstLineChars="200"/>
        <w:rPr>
          <w:rFonts w:ascii="仿宋_GB2312" w:hAnsi="仿宋_GB2312" w:eastAsia="宋体" w:cs="仿宋_GB2312"/>
        </w:rPr>
      </w:pPr>
      <w:r>
        <w:rPr>
          <w:rFonts w:ascii="仿宋_GB2312" w:hAnsi="仿宋_GB2312" w:eastAsia="宋体" w:cs="仿宋_GB2312"/>
        </w:rPr>
        <w:t>2020</w:t>
      </w:r>
      <w:r>
        <w:rPr>
          <w:rFonts w:hint="eastAsia" w:ascii="仿宋_GB2312" w:hAnsi="仿宋_GB2312" w:eastAsia="宋体" w:cs="仿宋_GB2312"/>
        </w:rPr>
        <w:t>年度财政拨款支出</w:t>
      </w:r>
      <w:r>
        <w:rPr>
          <w:rFonts w:ascii="仿宋_GB2312" w:hAnsi="仿宋_GB2312" w:eastAsia="宋体" w:cs="仿宋_GB2312"/>
        </w:rPr>
        <w:t>2822.77</w:t>
      </w:r>
      <w:r>
        <w:rPr>
          <w:rFonts w:hint="eastAsia" w:ascii="仿宋_GB2312" w:hAnsi="仿宋_GB2312" w:eastAsia="宋体" w:cs="仿宋_GB2312"/>
        </w:rPr>
        <w:t>万元，占本年支出合计的</w:t>
      </w:r>
      <w:r>
        <w:rPr>
          <w:rFonts w:ascii="仿宋_GB2312" w:hAnsi="仿宋_GB2312" w:eastAsia="宋体" w:cs="仿宋_GB2312"/>
        </w:rPr>
        <w:t>62.18%</w:t>
      </w:r>
      <w:r>
        <w:rPr>
          <w:rFonts w:hint="eastAsia" w:ascii="仿宋_GB2312" w:hAnsi="仿宋_GB2312" w:eastAsia="宋体" w:cs="仿宋_GB2312"/>
        </w:rPr>
        <w:t>，与上年相比，财政拨款支出增加</w:t>
      </w:r>
      <w:r>
        <w:rPr>
          <w:rFonts w:ascii="仿宋_GB2312" w:hAnsi="仿宋_GB2312" w:eastAsia="宋体" w:cs="仿宋_GB2312"/>
        </w:rPr>
        <w:t>12.62</w:t>
      </w:r>
      <w:r>
        <w:rPr>
          <w:rFonts w:hint="eastAsia" w:ascii="仿宋_GB2312" w:hAnsi="仿宋_GB2312" w:eastAsia="宋体" w:cs="仿宋_GB2312"/>
        </w:rPr>
        <w:t>万元，增长</w:t>
      </w:r>
      <w:r>
        <w:rPr>
          <w:rFonts w:ascii="仿宋_GB2312" w:hAnsi="仿宋_GB2312" w:eastAsia="宋体" w:cs="仿宋_GB2312"/>
        </w:rPr>
        <w:t>0.45%</w:t>
      </w:r>
      <w:r>
        <w:rPr>
          <w:rFonts w:hint="eastAsia" w:ascii="仿宋_GB2312" w:hAnsi="仿宋_GB2312" w:eastAsia="宋体" w:cs="仿宋_GB2312"/>
        </w:rPr>
        <w:t>，主要原因是项目支出增加。</w:t>
      </w:r>
    </w:p>
    <w:p>
      <w:pPr>
        <w:pStyle w:val="9"/>
        <w:spacing w:line="360" w:lineRule="auto"/>
        <w:ind w:firstLine="352" w:firstLineChars="147"/>
        <w:rPr>
          <w:rFonts w:ascii="仿宋_GB2312" w:hAnsi="仿宋_GB2312" w:eastAsia="宋体" w:cs="仿宋_GB2312"/>
        </w:rPr>
      </w:pPr>
      <w:r>
        <w:rPr>
          <w:rFonts w:hint="eastAsia" w:ascii="仿宋_GB2312" w:hAnsi="仿宋_GB2312" w:eastAsia="宋体" w:cs="仿宋_GB2312"/>
        </w:rPr>
        <w:t>（二）财政拨款支出决算结构情况</w:t>
      </w:r>
    </w:p>
    <w:p>
      <w:pPr>
        <w:pStyle w:val="9"/>
        <w:spacing w:line="360" w:lineRule="auto"/>
        <w:ind w:firstLine="480" w:firstLineChars="200"/>
        <w:rPr>
          <w:rFonts w:ascii="仿宋_GB2312" w:hAnsi="仿宋_GB2312" w:eastAsia="宋体" w:cs="仿宋_GB2312"/>
        </w:rPr>
      </w:pPr>
      <w:r>
        <w:rPr>
          <w:rFonts w:ascii="仿宋_GB2312" w:hAnsi="仿宋_GB2312" w:eastAsia="宋体" w:cs="仿宋_GB2312"/>
        </w:rPr>
        <w:t>2020</w:t>
      </w:r>
      <w:r>
        <w:rPr>
          <w:rFonts w:hint="eastAsia" w:ascii="仿宋_GB2312" w:hAnsi="仿宋_GB2312" w:eastAsia="宋体" w:cs="仿宋_GB2312"/>
        </w:rPr>
        <w:t>年度财政拨款支出</w:t>
      </w:r>
      <w:r>
        <w:rPr>
          <w:rFonts w:ascii="仿宋_GB2312" w:hAnsi="仿宋_GB2312" w:eastAsia="宋体" w:cs="仿宋_GB2312"/>
        </w:rPr>
        <w:t>2822.77</w:t>
      </w:r>
      <w:r>
        <w:rPr>
          <w:rFonts w:hint="eastAsia" w:ascii="仿宋_GB2312" w:hAnsi="仿宋_GB2312" w:eastAsia="宋体" w:cs="仿宋_GB2312"/>
        </w:rPr>
        <w:t>万元，主要用于以下方面：一般公共服务支出</w:t>
      </w:r>
      <w:r>
        <w:rPr>
          <w:rFonts w:ascii="仿宋_GB2312" w:hAnsi="仿宋_GB2312" w:eastAsia="宋体" w:cs="仿宋_GB2312"/>
        </w:rPr>
        <w:t>168.18</w:t>
      </w:r>
      <w:r>
        <w:rPr>
          <w:rFonts w:hint="eastAsia" w:ascii="仿宋_GB2312" w:hAnsi="仿宋_GB2312" w:eastAsia="宋体" w:cs="仿宋_GB2312"/>
        </w:rPr>
        <w:t>万元，占</w:t>
      </w:r>
      <w:r>
        <w:rPr>
          <w:rFonts w:ascii="仿宋_GB2312" w:hAnsi="仿宋_GB2312" w:eastAsia="宋体" w:cs="仿宋_GB2312"/>
        </w:rPr>
        <w:t>5.96%</w:t>
      </w:r>
      <w:r>
        <w:rPr>
          <w:rFonts w:hint="eastAsia" w:ascii="仿宋_GB2312" w:hAnsi="仿宋_GB2312" w:eastAsia="宋体" w:cs="仿宋_GB2312"/>
        </w:rPr>
        <w:t>；社会保障和就业支出</w:t>
      </w:r>
      <w:r>
        <w:rPr>
          <w:rFonts w:ascii="仿宋_GB2312" w:hAnsi="仿宋_GB2312" w:eastAsia="宋体" w:cs="仿宋_GB2312"/>
        </w:rPr>
        <w:t>15.78</w:t>
      </w:r>
      <w:r>
        <w:rPr>
          <w:rFonts w:hint="eastAsia" w:ascii="仿宋_GB2312" w:hAnsi="仿宋_GB2312" w:eastAsia="宋体" w:cs="仿宋_GB2312"/>
        </w:rPr>
        <w:t>万元，占</w:t>
      </w:r>
      <w:r>
        <w:rPr>
          <w:rFonts w:ascii="仿宋_GB2312" w:hAnsi="仿宋_GB2312" w:eastAsia="宋体" w:cs="仿宋_GB2312"/>
        </w:rPr>
        <w:t>0.56%;</w:t>
      </w:r>
      <w:r>
        <w:rPr>
          <w:rFonts w:hint="eastAsia" w:ascii="仿宋_GB2312" w:hAnsi="仿宋_GB2312" w:eastAsia="宋体" w:cs="仿宋_GB2312"/>
        </w:rPr>
        <w:t>农林水支出</w:t>
      </w:r>
      <w:r>
        <w:rPr>
          <w:rFonts w:ascii="仿宋_GB2312" w:hAnsi="仿宋_GB2312" w:eastAsia="宋体" w:cs="仿宋_GB2312"/>
        </w:rPr>
        <w:t>183.96</w:t>
      </w:r>
      <w:r>
        <w:rPr>
          <w:rFonts w:hint="eastAsia" w:ascii="仿宋_GB2312" w:hAnsi="仿宋_GB2312" w:eastAsia="宋体" w:cs="仿宋_GB2312"/>
        </w:rPr>
        <w:t>万元，占</w:t>
      </w:r>
      <w:r>
        <w:rPr>
          <w:rFonts w:ascii="仿宋_GB2312" w:hAnsi="仿宋_GB2312" w:eastAsia="宋体" w:cs="仿宋_GB2312"/>
        </w:rPr>
        <w:t>6.52%</w:t>
      </w:r>
      <w:r>
        <w:rPr>
          <w:rFonts w:hint="eastAsia" w:ascii="仿宋_GB2312" w:hAnsi="仿宋_GB2312" w:eastAsia="宋体" w:cs="仿宋_GB2312"/>
        </w:rPr>
        <w:t>；自然资源海洋气象等支出</w:t>
      </w:r>
      <w:r>
        <w:rPr>
          <w:rFonts w:ascii="仿宋_GB2312" w:hAnsi="仿宋_GB2312" w:eastAsia="宋体" w:cs="仿宋_GB2312"/>
        </w:rPr>
        <w:t>2328.85</w:t>
      </w:r>
      <w:r>
        <w:rPr>
          <w:rFonts w:hint="eastAsia" w:ascii="仿宋_GB2312" w:hAnsi="仿宋_GB2312" w:eastAsia="宋体" w:cs="仿宋_GB2312"/>
        </w:rPr>
        <w:t>万元，占</w:t>
      </w:r>
      <w:r>
        <w:rPr>
          <w:rFonts w:ascii="仿宋_GB2312" w:hAnsi="仿宋_GB2312" w:eastAsia="宋体" w:cs="仿宋_GB2312"/>
        </w:rPr>
        <w:t>82.50%</w:t>
      </w:r>
      <w:r>
        <w:rPr>
          <w:rFonts w:hint="eastAsia" w:ascii="仿宋_GB2312" w:hAnsi="仿宋_GB2312" w:eastAsia="宋体" w:cs="仿宋_GB2312"/>
        </w:rPr>
        <w:t>；住房保障支出</w:t>
      </w:r>
      <w:r>
        <w:rPr>
          <w:rFonts w:ascii="仿宋_GB2312" w:hAnsi="仿宋_GB2312" w:eastAsia="宋体" w:cs="仿宋_GB2312"/>
        </w:rPr>
        <w:t>93.99</w:t>
      </w:r>
      <w:r>
        <w:rPr>
          <w:rFonts w:hint="eastAsia" w:ascii="仿宋_GB2312" w:hAnsi="仿宋_GB2312" w:eastAsia="宋体" w:cs="仿宋_GB2312"/>
        </w:rPr>
        <w:t>万元，占</w:t>
      </w:r>
      <w:r>
        <w:rPr>
          <w:rFonts w:ascii="仿宋_GB2312" w:hAnsi="仿宋_GB2312" w:eastAsia="宋体" w:cs="仿宋_GB2312"/>
        </w:rPr>
        <w:t>3.33%</w:t>
      </w:r>
      <w:r>
        <w:rPr>
          <w:rFonts w:hint="eastAsia" w:ascii="仿宋_GB2312" w:hAnsi="仿宋_GB2312" w:eastAsia="宋体" w:cs="仿宋_GB2312"/>
        </w:rPr>
        <w:t>；灾害防治及应急管理支出</w:t>
      </w:r>
      <w:r>
        <w:rPr>
          <w:rFonts w:ascii="仿宋_GB2312" w:hAnsi="仿宋_GB2312" w:eastAsia="宋体" w:cs="仿宋_GB2312"/>
        </w:rPr>
        <w:t>32.00</w:t>
      </w:r>
      <w:r>
        <w:rPr>
          <w:rFonts w:hint="eastAsia" w:ascii="仿宋_GB2312" w:hAnsi="仿宋_GB2312" w:eastAsia="宋体" w:cs="仿宋_GB2312"/>
        </w:rPr>
        <w:t>万元</w:t>
      </w:r>
      <w:r>
        <w:rPr>
          <w:rFonts w:ascii="仿宋_GB2312" w:hAnsi="仿宋_GB2312" w:eastAsia="宋体" w:cs="仿宋_GB2312"/>
        </w:rPr>
        <w:t>,</w:t>
      </w:r>
      <w:r>
        <w:rPr>
          <w:rFonts w:hint="eastAsia" w:ascii="仿宋_GB2312" w:hAnsi="仿宋_GB2312" w:eastAsia="宋体" w:cs="仿宋_GB2312"/>
        </w:rPr>
        <w:t>占</w:t>
      </w:r>
      <w:r>
        <w:rPr>
          <w:rFonts w:ascii="仿宋_GB2312" w:hAnsi="仿宋_GB2312" w:eastAsia="宋体" w:cs="仿宋_GB2312"/>
        </w:rPr>
        <w:t>1.13%</w:t>
      </w:r>
      <w:r>
        <w:rPr>
          <w:rFonts w:hint="eastAsia" w:ascii="仿宋_GB2312" w:hAnsi="仿宋_GB2312" w:eastAsia="宋体" w:cs="仿宋_GB2312"/>
        </w:rPr>
        <w:t>。</w:t>
      </w:r>
    </w:p>
    <w:p>
      <w:pPr>
        <w:pStyle w:val="9"/>
        <w:spacing w:line="360" w:lineRule="auto"/>
        <w:ind w:firstLine="352" w:firstLineChars="147"/>
        <w:rPr>
          <w:rFonts w:ascii="仿宋_GB2312" w:hAnsi="仿宋_GB2312" w:eastAsia="宋体" w:cs="仿宋_GB2312"/>
        </w:rPr>
      </w:pPr>
      <w:r>
        <w:rPr>
          <w:rFonts w:hint="eastAsia" w:ascii="仿宋_GB2312" w:hAnsi="仿宋_GB2312" w:eastAsia="宋体" w:cs="仿宋_GB2312"/>
        </w:rPr>
        <w:t>（三）财政拨款支出决算具体情况</w:t>
      </w:r>
    </w:p>
    <w:p>
      <w:pPr>
        <w:pStyle w:val="9"/>
        <w:spacing w:line="360" w:lineRule="auto"/>
        <w:ind w:firstLine="480" w:firstLineChars="200"/>
        <w:rPr>
          <w:rFonts w:ascii="仿宋_GB2312" w:hAnsi="仿宋_GB2312" w:eastAsia="宋体" w:cs="仿宋_GB2312"/>
        </w:rPr>
      </w:pPr>
      <w:r>
        <w:rPr>
          <w:rFonts w:ascii="仿宋_GB2312" w:hAnsi="仿宋_GB2312" w:eastAsia="宋体" w:cs="仿宋_GB2312"/>
        </w:rPr>
        <w:t>2020</w:t>
      </w:r>
      <w:r>
        <w:rPr>
          <w:rFonts w:hint="eastAsia" w:ascii="仿宋_GB2312" w:hAnsi="仿宋_GB2312" w:eastAsia="宋体" w:cs="仿宋_GB2312"/>
        </w:rPr>
        <w:t>年度财政拨款支出年初预算为2153.00万元，决算数为</w:t>
      </w:r>
      <w:r>
        <w:rPr>
          <w:rFonts w:ascii="仿宋_GB2312" w:hAnsi="仿宋_GB2312" w:eastAsia="宋体" w:cs="仿宋_GB2312"/>
        </w:rPr>
        <w:t>2822.77</w:t>
      </w:r>
      <w:r>
        <w:rPr>
          <w:rFonts w:hint="eastAsia" w:ascii="仿宋_GB2312" w:hAnsi="仿宋_GB2312" w:eastAsia="宋体" w:cs="仿宋_GB2312"/>
        </w:rPr>
        <w:t>万元。比年初预算增加669.77万元。增加的主要原因是其内含有历年项目和本年年中调增预算项目的支出。其中：</w:t>
      </w:r>
    </w:p>
    <w:p>
      <w:pPr>
        <w:pStyle w:val="9"/>
        <w:spacing w:line="360" w:lineRule="auto"/>
        <w:ind w:firstLine="480" w:firstLineChars="200"/>
        <w:rPr>
          <w:rFonts w:ascii="仿宋_GB2312" w:hAnsi="仿宋_GB2312" w:eastAsia="宋体" w:cs="仿宋_GB2312"/>
        </w:rPr>
      </w:pPr>
      <w:r>
        <w:rPr>
          <w:rFonts w:hint="eastAsia" w:ascii="仿宋_GB2312" w:hAnsi="仿宋_GB2312" w:eastAsia="宋体" w:cs="仿宋_GB2312"/>
        </w:rPr>
        <w:t>一般公共服务支出决算数为</w:t>
      </w:r>
      <w:r>
        <w:rPr>
          <w:rFonts w:ascii="仿宋_GB2312" w:hAnsi="仿宋_GB2312" w:eastAsia="宋体" w:cs="仿宋_GB2312"/>
        </w:rPr>
        <w:t>168.18</w:t>
      </w:r>
      <w:r>
        <w:rPr>
          <w:rFonts w:hint="eastAsia" w:ascii="仿宋_GB2312" w:hAnsi="仿宋_GB2312" w:eastAsia="宋体" w:cs="仿宋_GB2312"/>
        </w:rPr>
        <w:t>万元，用于2020年度绩效奖的发放；</w:t>
      </w:r>
    </w:p>
    <w:p>
      <w:pPr>
        <w:pStyle w:val="9"/>
        <w:spacing w:line="360" w:lineRule="auto"/>
        <w:ind w:firstLine="480" w:firstLineChars="200"/>
        <w:rPr>
          <w:rFonts w:ascii="仿宋_GB2312" w:hAnsi="仿宋_GB2312" w:eastAsia="宋体" w:cs="仿宋_GB2312"/>
        </w:rPr>
      </w:pPr>
      <w:r>
        <w:rPr>
          <w:rFonts w:hint="eastAsia" w:ascii="仿宋_GB2312" w:hAnsi="仿宋_GB2312" w:eastAsia="宋体" w:cs="仿宋_GB2312"/>
        </w:rPr>
        <w:t>社会保障和就业支出决算数为</w:t>
      </w:r>
      <w:r>
        <w:rPr>
          <w:rFonts w:ascii="仿宋_GB2312" w:hAnsi="仿宋_GB2312" w:eastAsia="宋体" w:cs="仿宋_GB2312"/>
        </w:rPr>
        <w:t>15.78</w:t>
      </w:r>
      <w:r>
        <w:rPr>
          <w:rFonts w:hint="eastAsia" w:ascii="仿宋_GB2312" w:hAnsi="仿宋_GB2312" w:eastAsia="宋体" w:cs="仿宋_GB2312"/>
        </w:rPr>
        <w:t>万元，用于住房公积金开支；</w:t>
      </w:r>
    </w:p>
    <w:p>
      <w:pPr>
        <w:pStyle w:val="9"/>
        <w:spacing w:line="360" w:lineRule="auto"/>
        <w:ind w:firstLine="480" w:firstLineChars="200"/>
        <w:rPr>
          <w:rFonts w:ascii="仿宋_GB2312" w:hAnsi="仿宋_GB2312" w:eastAsia="宋体" w:cs="仿宋_GB2312"/>
        </w:rPr>
      </w:pPr>
      <w:r>
        <w:rPr>
          <w:rFonts w:hint="eastAsia" w:ascii="仿宋_GB2312" w:hAnsi="仿宋_GB2312" w:eastAsia="宋体" w:cs="仿宋_GB2312"/>
        </w:rPr>
        <w:t>农林水支出决算数为</w:t>
      </w:r>
      <w:r>
        <w:rPr>
          <w:rFonts w:ascii="仿宋_GB2312" w:hAnsi="仿宋_GB2312" w:eastAsia="宋体" w:cs="仿宋_GB2312"/>
        </w:rPr>
        <w:t>183.96</w:t>
      </w:r>
      <w:r>
        <w:rPr>
          <w:rFonts w:hint="eastAsia" w:ascii="仿宋_GB2312" w:hAnsi="仿宋_GB2312" w:eastAsia="宋体" w:cs="仿宋_GB2312"/>
        </w:rPr>
        <w:t>万元（年中调增预算项目的开支）；</w:t>
      </w:r>
    </w:p>
    <w:p>
      <w:pPr>
        <w:pStyle w:val="9"/>
        <w:spacing w:line="360" w:lineRule="auto"/>
        <w:ind w:firstLine="480" w:firstLineChars="200"/>
        <w:rPr>
          <w:rFonts w:ascii="仿宋_GB2312" w:hAnsi="仿宋_GB2312" w:eastAsia="宋体" w:cs="仿宋_GB2312"/>
        </w:rPr>
      </w:pPr>
      <w:r>
        <w:rPr>
          <w:rFonts w:hint="eastAsia" w:ascii="仿宋_GB2312" w:hAnsi="仿宋_GB2312" w:eastAsia="宋体" w:cs="仿宋_GB2312"/>
        </w:rPr>
        <w:t>自然资源海洋气象等支出决算数为</w:t>
      </w:r>
      <w:r>
        <w:rPr>
          <w:rFonts w:ascii="仿宋_GB2312" w:hAnsi="仿宋_GB2312" w:eastAsia="宋体" w:cs="仿宋_GB2312"/>
        </w:rPr>
        <w:t>2328.85</w:t>
      </w:r>
      <w:r>
        <w:rPr>
          <w:rFonts w:hint="eastAsia" w:ascii="仿宋_GB2312" w:hAnsi="仿宋_GB2312" w:eastAsia="宋体" w:cs="仿宋_GB2312"/>
        </w:rPr>
        <w:t>万元，占</w:t>
      </w:r>
      <w:r>
        <w:rPr>
          <w:rFonts w:ascii="仿宋_GB2312" w:hAnsi="仿宋_GB2312" w:eastAsia="宋体" w:cs="仿宋_GB2312"/>
        </w:rPr>
        <w:t>82.50%</w:t>
      </w:r>
      <w:r>
        <w:rPr>
          <w:rFonts w:hint="eastAsia" w:ascii="仿宋_GB2312" w:hAnsi="仿宋_GB2312" w:eastAsia="宋体" w:cs="仿宋_GB2312"/>
        </w:rPr>
        <w:t>，其中行政运行支出决算数为</w:t>
      </w:r>
      <w:r>
        <w:rPr>
          <w:rFonts w:ascii="仿宋_GB2312" w:hAnsi="仿宋_GB2312" w:eastAsia="宋体" w:cs="仿宋_GB2312"/>
        </w:rPr>
        <w:t>1174.67</w:t>
      </w:r>
      <w:r>
        <w:rPr>
          <w:rFonts w:hint="eastAsia" w:ascii="仿宋_GB2312" w:hAnsi="仿宋_GB2312" w:eastAsia="宋体" w:cs="仿宋_GB2312"/>
        </w:rPr>
        <w:t>万元，占</w:t>
      </w:r>
      <w:r>
        <w:rPr>
          <w:rFonts w:ascii="仿宋_GB2312" w:hAnsi="仿宋_GB2312" w:eastAsia="宋体" w:cs="仿宋_GB2312"/>
        </w:rPr>
        <w:t>41.61%</w:t>
      </w:r>
      <w:r>
        <w:rPr>
          <w:rFonts w:hint="eastAsia" w:ascii="仿宋_GB2312" w:hAnsi="仿宋_GB2312" w:eastAsia="宋体" w:cs="仿宋_GB2312"/>
        </w:rPr>
        <w:t>；一般行政管理事务支出决算数为</w:t>
      </w:r>
      <w:r>
        <w:rPr>
          <w:rFonts w:ascii="仿宋_GB2312" w:hAnsi="仿宋_GB2312" w:eastAsia="宋体" w:cs="仿宋_GB2312"/>
        </w:rPr>
        <w:t>378.63</w:t>
      </w:r>
      <w:r>
        <w:rPr>
          <w:rFonts w:hint="eastAsia" w:ascii="仿宋_GB2312" w:hAnsi="仿宋_GB2312" w:eastAsia="宋体" w:cs="仿宋_GB2312"/>
        </w:rPr>
        <w:t>万元（项目支出）；自然资源调查与确权登记支出决算数为</w:t>
      </w:r>
      <w:r>
        <w:rPr>
          <w:rFonts w:ascii="仿宋_GB2312" w:hAnsi="仿宋_GB2312" w:eastAsia="宋体" w:cs="仿宋_GB2312"/>
        </w:rPr>
        <w:t>205.55</w:t>
      </w:r>
      <w:r>
        <w:rPr>
          <w:rFonts w:hint="eastAsia" w:ascii="仿宋_GB2312" w:hAnsi="仿宋_GB2312" w:eastAsia="宋体" w:cs="仿宋_GB2312"/>
        </w:rPr>
        <w:t>万元（历年项目支出）；其他农业农村支出决算数为</w:t>
      </w:r>
      <w:r>
        <w:rPr>
          <w:rFonts w:ascii="仿宋_GB2312" w:hAnsi="仿宋_GB2312" w:eastAsia="宋体" w:cs="仿宋_GB2312"/>
        </w:rPr>
        <w:t>570.00</w:t>
      </w:r>
      <w:r>
        <w:rPr>
          <w:rFonts w:hint="eastAsia" w:ascii="仿宋_GB2312" w:hAnsi="仿宋_GB2312" w:eastAsia="宋体" w:cs="仿宋_GB2312"/>
        </w:rPr>
        <w:t>万元（年中调增预算项目的支出）；</w:t>
      </w:r>
    </w:p>
    <w:p>
      <w:pPr>
        <w:pStyle w:val="9"/>
        <w:spacing w:line="360" w:lineRule="auto"/>
        <w:ind w:firstLine="480" w:firstLineChars="200"/>
        <w:rPr>
          <w:rFonts w:ascii="仿宋_GB2312" w:hAnsi="仿宋_GB2312" w:eastAsia="宋体" w:cs="仿宋_GB2312"/>
        </w:rPr>
      </w:pPr>
      <w:r>
        <w:rPr>
          <w:rFonts w:hint="eastAsia" w:ascii="仿宋_GB2312" w:hAnsi="仿宋_GB2312" w:eastAsia="宋体" w:cs="仿宋_GB2312"/>
        </w:rPr>
        <w:t>住房保障支出</w:t>
      </w:r>
      <w:r>
        <w:rPr>
          <w:rFonts w:ascii="仿宋_GB2312" w:hAnsi="仿宋_GB2312" w:eastAsia="宋体" w:cs="仿宋_GB2312"/>
        </w:rPr>
        <w:t>93.99</w:t>
      </w:r>
      <w:r>
        <w:rPr>
          <w:rFonts w:hint="eastAsia" w:ascii="仿宋_GB2312" w:hAnsi="仿宋_GB2312" w:eastAsia="宋体" w:cs="仿宋_GB2312"/>
        </w:rPr>
        <w:t>万元，比年初预算数略有减少</w:t>
      </w:r>
      <w:r>
        <w:rPr>
          <w:rFonts w:ascii="仿宋_GB2312" w:hAnsi="仿宋_GB2312" w:eastAsia="宋体" w:cs="仿宋_GB2312"/>
        </w:rPr>
        <w:t xml:space="preserve"> </w:t>
      </w:r>
      <w:r>
        <w:rPr>
          <w:rFonts w:hint="eastAsia" w:ascii="仿宋_GB2312" w:hAnsi="仿宋_GB2312" w:eastAsia="宋体" w:cs="仿宋_GB2312"/>
        </w:rPr>
        <w:t>；</w:t>
      </w:r>
    </w:p>
    <w:p>
      <w:pPr>
        <w:pStyle w:val="9"/>
        <w:spacing w:line="360" w:lineRule="auto"/>
        <w:ind w:firstLine="480" w:firstLineChars="200"/>
        <w:rPr>
          <w:rFonts w:ascii="仿宋_GB2312" w:hAnsi="仿宋_GB2312" w:eastAsia="宋体" w:cs="仿宋_GB2312"/>
        </w:rPr>
      </w:pPr>
      <w:r>
        <w:rPr>
          <w:rFonts w:hint="eastAsia" w:ascii="仿宋_GB2312" w:hAnsi="仿宋_GB2312" w:eastAsia="宋体" w:cs="仿宋_GB2312"/>
        </w:rPr>
        <w:t>灾害防治及应急管理支出</w:t>
      </w:r>
      <w:r>
        <w:rPr>
          <w:rFonts w:ascii="仿宋_GB2312" w:hAnsi="仿宋_GB2312" w:eastAsia="宋体" w:cs="仿宋_GB2312"/>
        </w:rPr>
        <w:t>32.00</w:t>
      </w:r>
      <w:r>
        <w:rPr>
          <w:rFonts w:hint="eastAsia" w:ascii="仿宋_GB2312" w:hAnsi="仿宋_GB2312" w:eastAsia="宋体" w:cs="仿宋_GB2312"/>
        </w:rPr>
        <w:t>万元</w:t>
      </w:r>
      <w:r>
        <w:rPr>
          <w:rFonts w:ascii="仿宋_GB2312" w:hAnsi="仿宋_GB2312" w:eastAsia="宋体" w:cs="仿宋_GB2312"/>
        </w:rPr>
        <w:t>,</w:t>
      </w:r>
      <w:r>
        <w:rPr>
          <w:rFonts w:hint="eastAsia" w:ascii="仿宋_GB2312" w:hAnsi="仿宋_GB2312" w:eastAsia="宋体" w:cs="仿宋_GB2312"/>
        </w:rPr>
        <w:t>属于年中增加预算项目的支出。</w:t>
      </w:r>
    </w:p>
    <w:p>
      <w:pPr>
        <w:pStyle w:val="9"/>
        <w:spacing w:line="360" w:lineRule="auto"/>
        <w:rPr>
          <w:rFonts w:ascii="仿宋_GB2312" w:hAnsi="仿宋_GB2312" w:eastAsia="宋体" w:cs="仿宋_GB2312"/>
          <w:b/>
        </w:rPr>
      </w:pPr>
      <w:r>
        <w:rPr>
          <w:rFonts w:hint="eastAsia" w:ascii="仿宋_GB2312" w:hAnsi="仿宋_GB2312" w:eastAsia="宋体" w:cs="仿宋_GB2312"/>
          <w:b/>
        </w:rPr>
        <w:t>六、一般公共预算财政拨款基本支出决算情况说明</w:t>
      </w:r>
    </w:p>
    <w:p>
      <w:pPr>
        <w:pStyle w:val="9"/>
        <w:spacing w:line="360" w:lineRule="auto"/>
        <w:ind w:firstLine="480" w:firstLineChars="200"/>
        <w:rPr>
          <w:rFonts w:ascii="仿宋_GB2312" w:hAnsi="仿宋_GB2312" w:eastAsia="宋体" w:cs="仿宋_GB2312"/>
        </w:rPr>
      </w:pPr>
      <w:r>
        <w:rPr>
          <w:rFonts w:ascii="仿宋_GB2312" w:hAnsi="仿宋_GB2312" w:eastAsia="宋体" w:cs="仿宋_GB2312"/>
        </w:rPr>
        <w:t>2020</w:t>
      </w:r>
      <w:r>
        <w:rPr>
          <w:rFonts w:hint="eastAsia" w:ascii="仿宋_GB2312" w:hAnsi="仿宋_GB2312" w:eastAsia="宋体" w:cs="仿宋_GB2312"/>
        </w:rPr>
        <w:t>年度财政拨款基本支出</w:t>
      </w:r>
      <w:r>
        <w:rPr>
          <w:rFonts w:ascii="仿宋_GB2312" w:hAnsi="仿宋_GB2312" w:eastAsia="宋体" w:cs="仿宋_GB2312"/>
        </w:rPr>
        <w:t>1459.87</w:t>
      </w:r>
      <w:r>
        <w:rPr>
          <w:rFonts w:hint="eastAsia" w:ascii="仿宋_GB2312" w:hAnsi="仿宋_GB2312" w:eastAsia="宋体" w:cs="仿宋_GB2312"/>
        </w:rPr>
        <w:t>万元，其中：人员经费</w:t>
      </w:r>
      <w:r>
        <w:rPr>
          <w:rFonts w:ascii="仿宋_GB2312" w:hAnsi="仿宋_GB2312" w:eastAsia="宋体" w:cs="仿宋_GB2312"/>
        </w:rPr>
        <w:t>1098.99</w:t>
      </w:r>
      <w:r>
        <w:rPr>
          <w:rFonts w:hint="eastAsia" w:ascii="仿宋_GB2312" w:hAnsi="仿宋_GB2312" w:eastAsia="宋体" w:cs="仿宋_GB2312"/>
        </w:rPr>
        <w:t>万元，占基本支出的</w:t>
      </w:r>
      <w:r>
        <w:rPr>
          <w:rFonts w:ascii="仿宋_GB2312" w:hAnsi="仿宋_GB2312" w:eastAsia="宋体" w:cs="仿宋_GB2312"/>
        </w:rPr>
        <w:t>75.28%,</w:t>
      </w:r>
      <w:r>
        <w:rPr>
          <w:rFonts w:hint="eastAsia" w:ascii="仿宋_GB2312" w:hAnsi="仿宋_GB2312" w:eastAsia="宋体" w:cs="仿宋_GB2312"/>
        </w:rPr>
        <w:t>主要包括按国家规定支出的基本工资、津贴补贴、奖金、伙食补助费、机关事业单位基本养老保险缴费、其他社会保障缴费、职业年金、抚恤金、生活补助、医疗费、住房公积金、其他对个人和家庭的补助支出；公用经费</w:t>
      </w:r>
      <w:r>
        <w:rPr>
          <w:rFonts w:ascii="仿宋_GB2312" w:hAnsi="仿宋_GB2312" w:eastAsia="宋体" w:cs="仿宋_GB2312"/>
        </w:rPr>
        <w:t>360.88</w:t>
      </w:r>
      <w:r>
        <w:rPr>
          <w:rFonts w:hint="eastAsia" w:ascii="仿宋_GB2312" w:hAnsi="仿宋_GB2312" w:eastAsia="宋体" w:cs="仿宋_GB2312"/>
        </w:rPr>
        <w:t>万元，占基本支出的</w:t>
      </w:r>
      <w:r>
        <w:rPr>
          <w:rFonts w:ascii="仿宋_GB2312" w:hAnsi="仿宋_GB2312" w:eastAsia="宋体" w:cs="仿宋_GB2312"/>
        </w:rPr>
        <w:t>24.72%</w:t>
      </w:r>
      <w:r>
        <w:rPr>
          <w:rFonts w:hint="eastAsia" w:ascii="仿宋_GB2312" w:hAnsi="仿宋_GB2312" w:eastAsia="宋体" w:cs="仿宋_GB2312"/>
        </w:rPr>
        <w:t>，主要包括办公费、印刷费、咨询费、手续费、水费、电费、邮电费、物业管理费、差旅费、维修（护）费、租赁费、会议费、培训费、公务接待费、劳务费、委托业务费、工会经费、福利费、其他商品和服务支出、办公设备及专用设备购置费。</w:t>
      </w:r>
    </w:p>
    <w:p>
      <w:pPr>
        <w:pStyle w:val="9"/>
        <w:spacing w:line="360" w:lineRule="auto"/>
        <w:rPr>
          <w:rFonts w:ascii="仿宋_GB2312" w:hAnsi="仿宋_GB2312" w:eastAsia="宋体" w:cs="仿宋_GB2312"/>
          <w:b/>
        </w:rPr>
      </w:pPr>
      <w:r>
        <w:rPr>
          <w:rFonts w:hint="eastAsia" w:ascii="仿宋_GB2312" w:hAnsi="仿宋_GB2312" w:eastAsia="宋体" w:cs="仿宋_GB2312"/>
          <w:b/>
        </w:rPr>
        <w:t>七、一般公共预算财政拨款三公经费支出决算情况说明</w:t>
      </w:r>
    </w:p>
    <w:p>
      <w:pPr>
        <w:pStyle w:val="9"/>
        <w:spacing w:line="360" w:lineRule="auto"/>
        <w:ind w:firstLine="352" w:firstLineChars="147"/>
        <w:rPr>
          <w:rFonts w:ascii="仿宋_GB2312" w:hAnsi="仿宋_GB2312" w:eastAsia="宋体" w:cs="仿宋_GB2312"/>
        </w:rPr>
      </w:pPr>
      <w:r>
        <w:rPr>
          <w:rFonts w:hint="eastAsia" w:ascii="仿宋_GB2312" w:hAnsi="仿宋_GB2312" w:eastAsia="宋体" w:cs="仿宋_GB2312"/>
        </w:rPr>
        <w:t>（一）“三公”经费财政拨款支出决算总体情况说明</w:t>
      </w:r>
    </w:p>
    <w:p>
      <w:pPr>
        <w:pStyle w:val="9"/>
        <w:spacing w:line="360" w:lineRule="auto"/>
        <w:ind w:firstLine="360" w:firstLineChars="150"/>
        <w:rPr>
          <w:rFonts w:ascii="仿宋_GB2312" w:hAnsi="仿宋_GB2312" w:eastAsia="宋体" w:cs="仿宋_GB2312"/>
        </w:rPr>
      </w:pPr>
      <w:r>
        <w:rPr>
          <w:rFonts w:hint="eastAsia" w:ascii="仿宋_GB2312" w:hAnsi="仿宋_GB2312" w:eastAsia="宋体" w:cs="仿宋_GB2312"/>
        </w:rPr>
        <w:t>“三公”经费财政拨款支出决算为</w:t>
      </w:r>
      <w:r>
        <w:rPr>
          <w:rFonts w:ascii="仿宋_GB2312" w:hAnsi="仿宋_GB2312" w:eastAsia="宋体" w:cs="仿宋_GB2312"/>
        </w:rPr>
        <w:t>7.46</w:t>
      </w:r>
      <w:r>
        <w:rPr>
          <w:rFonts w:hint="eastAsia" w:ascii="仿宋_GB2312" w:hAnsi="仿宋_GB2312" w:eastAsia="宋体" w:cs="仿宋_GB2312"/>
        </w:rPr>
        <w:t>万元，比去年减少1.87万元，其中：</w:t>
      </w:r>
    </w:p>
    <w:p>
      <w:pPr>
        <w:pStyle w:val="9"/>
        <w:spacing w:line="360" w:lineRule="auto"/>
        <w:ind w:firstLine="480" w:firstLineChars="200"/>
        <w:rPr>
          <w:rFonts w:ascii="仿宋_GB2312" w:hAnsi="仿宋_GB2312" w:eastAsia="宋体" w:cs="仿宋_GB2312"/>
        </w:rPr>
      </w:pPr>
      <w:r>
        <w:rPr>
          <w:rFonts w:hint="eastAsia" w:ascii="仿宋_GB2312" w:hAnsi="仿宋_GB2312" w:eastAsia="宋体" w:cs="仿宋_GB2312"/>
        </w:rPr>
        <w:t>因公出国（境）费支出预算为</w:t>
      </w:r>
      <w:r>
        <w:rPr>
          <w:rFonts w:ascii="仿宋_GB2312" w:hAnsi="仿宋_GB2312" w:eastAsia="宋体" w:cs="仿宋_GB2312"/>
        </w:rPr>
        <w:t>0</w:t>
      </w:r>
      <w:r>
        <w:rPr>
          <w:rFonts w:hint="eastAsia" w:ascii="仿宋_GB2312" w:hAnsi="仿宋_GB2312" w:eastAsia="宋体" w:cs="仿宋_GB2312"/>
        </w:rPr>
        <w:t>万元，支出决算为</w:t>
      </w:r>
      <w:r>
        <w:rPr>
          <w:rFonts w:ascii="仿宋_GB2312" w:hAnsi="仿宋_GB2312" w:eastAsia="宋体" w:cs="仿宋_GB2312"/>
        </w:rPr>
        <w:t>0</w:t>
      </w:r>
      <w:r>
        <w:rPr>
          <w:rFonts w:hint="eastAsia" w:ascii="仿宋_GB2312" w:hAnsi="仿宋_GB2312" w:eastAsia="宋体" w:cs="仿宋_GB2312"/>
        </w:rPr>
        <w:t>万元，与上年相比减少</w:t>
      </w:r>
      <w:r>
        <w:rPr>
          <w:rFonts w:ascii="仿宋_GB2312" w:hAnsi="仿宋_GB2312" w:eastAsia="宋体" w:cs="仿宋_GB2312"/>
        </w:rPr>
        <w:t>0</w:t>
      </w:r>
      <w:r>
        <w:rPr>
          <w:rFonts w:hint="eastAsia" w:ascii="仿宋_GB2312" w:hAnsi="仿宋_GB2312" w:eastAsia="宋体" w:cs="仿宋_GB2312"/>
        </w:rPr>
        <w:t>万元。</w:t>
      </w:r>
    </w:p>
    <w:p>
      <w:pPr>
        <w:pStyle w:val="9"/>
        <w:spacing w:line="360" w:lineRule="auto"/>
        <w:ind w:firstLine="480" w:firstLineChars="200"/>
        <w:rPr>
          <w:rFonts w:ascii="仿宋_GB2312" w:hAnsi="仿宋_GB2312" w:eastAsia="宋体" w:cs="仿宋_GB2312"/>
        </w:rPr>
      </w:pPr>
      <w:r>
        <w:rPr>
          <w:rFonts w:hint="eastAsia" w:ascii="仿宋_GB2312" w:hAnsi="仿宋_GB2312" w:eastAsia="宋体" w:cs="仿宋_GB2312"/>
        </w:rPr>
        <w:t>公务接待费支出决算为</w:t>
      </w:r>
      <w:r>
        <w:rPr>
          <w:rFonts w:ascii="仿宋_GB2312" w:hAnsi="仿宋_GB2312" w:eastAsia="宋体" w:cs="仿宋_GB2312"/>
        </w:rPr>
        <w:t>7.46</w:t>
      </w:r>
      <w:r>
        <w:rPr>
          <w:rFonts w:hint="eastAsia" w:ascii="仿宋_GB2312" w:hAnsi="仿宋_GB2312" w:eastAsia="宋体" w:cs="仿宋_GB2312"/>
        </w:rPr>
        <w:t>万元，与上年相比减少</w:t>
      </w:r>
      <w:r>
        <w:rPr>
          <w:rFonts w:ascii="仿宋_GB2312" w:hAnsi="仿宋_GB2312" w:eastAsia="宋体" w:cs="仿宋_GB2312"/>
        </w:rPr>
        <w:t>1.87</w:t>
      </w:r>
      <w:r>
        <w:rPr>
          <w:rFonts w:hint="eastAsia" w:ascii="仿宋_GB2312" w:hAnsi="仿宋_GB2312" w:eastAsia="宋体" w:cs="仿宋_GB2312"/>
        </w:rPr>
        <w:t>万元，减少</w:t>
      </w:r>
      <w:r>
        <w:rPr>
          <w:rFonts w:ascii="仿宋_GB2312" w:hAnsi="仿宋_GB2312" w:eastAsia="宋体" w:cs="仿宋_GB2312"/>
        </w:rPr>
        <w:t>2.01%,</w:t>
      </w:r>
      <w:r>
        <w:rPr>
          <w:rFonts w:hint="eastAsia" w:ascii="仿宋_GB2312" w:hAnsi="仿宋_GB2312" w:eastAsia="宋体" w:cs="仿宋_GB2312"/>
        </w:rPr>
        <w:t>减少的主要原因是认真贯彻落实中央“</w:t>
      </w:r>
      <w:r>
        <w:rPr>
          <w:rFonts w:hint="eastAsia" w:ascii="仿宋_GB2312" w:hAnsi="仿宋_GB2312" w:eastAsia="宋体" w:cs="仿宋_GB2312"/>
          <w:lang w:eastAsia="zh-CN"/>
        </w:rPr>
        <w:t>中央</w:t>
      </w:r>
      <w:bookmarkStart w:id="2" w:name="_GoBack"/>
      <w:bookmarkEnd w:id="2"/>
      <w:r>
        <w:rPr>
          <w:rFonts w:hint="eastAsia" w:ascii="仿宋_GB2312" w:hAnsi="仿宋_GB2312" w:eastAsia="宋体" w:cs="仿宋_GB2312"/>
        </w:rPr>
        <w:t>八项规定”精神和厉行节约要求，从严控制“三公”经费开支。</w:t>
      </w:r>
      <w:r>
        <w:rPr>
          <w:rFonts w:ascii="仿宋_GB2312" w:hAnsi="仿宋_GB2312" w:eastAsia="宋体" w:cs="仿宋_GB2312"/>
        </w:rPr>
        <w:t xml:space="preserve"> </w:t>
      </w:r>
    </w:p>
    <w:p>
      <w:pPr>
        <w:pStyle w:val="9"/>
        <w:spacing w:line="360" w:lineRule="auto"/>
        <w:ind w:firstLine="480" w:firstLineChars="200"/>
        <w:rPr>
          <w:rFonts w:ascii="仿宋_GB2312" w:hAnsi="仿宋_GB2312" w:eastAsia="宋体" w:cs="仿宋_GB2312"/>
        </w:rPr>
      </w:pPr>
      <w:r>
        <w:rPr>
          <w:rFonts w:hint="eastAsia" w:ascii="仿宋_GB2312" w:hAnsi="仿宋_GB2312" w:eastAsia="宋体" w:cs="仿宋_GB2312"/>
        </w:rPr>
        <w:t>公务用车购置费及运行维护费支出预算为</w:t>
      </w:r>
      <w:r>
        <w:rPr>
          <w:rFonts w:ascii="仿宋_GB2312" w:hAnsi="仿宋_GB2312" w:eastAsia="宋体" w:cs="仿宋_GB2312"/>
        </w:rPr>
        <w:t>0</w:t>
      </w:r>
      <w:r>
        <w:rPr>
          <w:rFonts w:hint="eastAsia" w:ascii="仿宋_GB2312" w:hAnsi="仿宋_GB2312" w:eastAsia="宋体" w:cs="仿宋_GB2312"/>
        </w:rPr>
        <w:t>万元，支出决算为</w:t>
      </w:r>
      <w:r>
        <w:rPr>
          <w:rFonts w:ascii="仿宋_GB2312" w:hAnsi="仿宋_GB2312" w:eastAsia="宋体" w:cs="仿宋_GB2312"/>
        </w:rPr>
        <w:t>0</w:t>
      </w:r>
      <w:r>
        <w:rPr>
          <w:rFonts w:hint="eastAsia" w:ascii="仿宋_GB2312" w:hAnsi="仿宋_GB2312" w:eastAsia="宋体" w:cs="仿宋_GB2312"/>
        </w:rPr>
        <w:t>万元，与上年相比减少</w:t>
      </w:r>
      <w:r>
        <w:rPr>
          <w:rFonts w:ascii="仿宋_GB2312" w:hAnsi="仿宋_GB2312" w:eastAsia="宋体" w:cs="仿宋_GB2312"/>
        </w:rPr>
        <w:t>0</w:t>
      </w:r>
      <w:r>
        <w:rPr>
          <w:rFonts w:hint="eastAsia" w:ascii="仿宋_GB2312" w:hAnsi="仿宋_GB2312" w:eastAsia="宋体" w:cs="仿宋_GB2312"/>
        </w:rPr>
        <w:t>万元。</w:t>
      </w:r>
    </w:p>
    <w:p>
      <w:pPr>
        <w:pStyle w:val="9"/>
        <w:spacing w:line="360" w:lineRule="auto"/>
        <w:ind w:firstLine="360" w:firstLineChars="150"/>
        <w:rPr>
          <w:rFonts w:ascii="仿宋_GB2312" w:hAnsi="仿宋_GB2312" w:eastAsia="宋体" w:cs="仿宋_GB2312"/>
        </w:rPr>
      </w:pPr>
      <w:r>
        <w:rPr>
          <w:rFonts w:hint="eastAsia" w:ascii="仿宋_GB2312" w:hAnsi="仿宋_GB2312" w:eastAsia="宋体" w:cs="仿宋_GB2312"/>
        </w:rPr>
        <w:t>（二）“三公”经费财政拨款支出决算具体情况说明</w:t>
      </w:r>
    </w:p>
    <w:p>
      <w:pPr>
        <w:pStyle w:val="9"/>
        <w:spacing w:line="360" w:lineRule="auto"/>
        <w:ind w:firstLine="480" w:firstLineChars="200"/>
        <w:rPr>
          <w:rFonts w:ascii="仿宋_GB2312" w:hAnsi="仿宋_GB2312" w:eastAsia="宋体" w:cs="仿宋_GB2312"/>
        </w:rPr>
      </w:pPr>
      <w:r>
        <w:rPr>
          <w:rFonts w:ascii="仿宋_GB2312" w:hAnsi="仿宋_GB2312" w:eastAsia="宋体" w:cs="仿宋_GB2312"/>
        </w:rPr>
        <w:t>2020</w:t>
      </w:r>
      <w:r>
        <w:rPr>
          <w:rFonts w:hint="eastAsia" w:ascii="仿宋_GB2312" w:hAnsi="仿宋_GB2312" w:eastAsia="宋体" w:cs="仿宋_GB2312"/>
        </w:rPr>
        <w:t>年度“三公”经费财政拨款支出决算中，公务接待费支出决算</w:t>
      </w:r>
      <w:r>
        <w:rPr>
          <w:rFonts w:ascii="仿宋_GB2312" w:hAnsi="仿宋_GB2312" w:eastAsia="宋体" w:cs="仿宋_GB2312"/>
        </w:rPr>
        <w:t>7.46</w:t>
      </w:r>
      <w:r>
        <w:rPr>
          <w:rFonts w:hint="eastAsia" w:ascii="仿宋_GB2312" w:hAnsi="仿宋_GB2312" w:eastAsia="宋体" w:cs="仿宋_GB2312"/>
        </w:rPr>
        <w:t>万元，因公出国（境）费支出决算</w:t>
      </w:r>
      <w:r>
        <w:rPr>
          <w:rFonts w:ascii="仿宋_GB2312" w:hAnsi="仿宋_GB2312" w:eastAsia="宋体" w:cs="仿宋_GB2312"/>
        </w:rPr>
        <w:t>0</w:t>
      </w:r>
      <w:r>
        <w:rPr>
          <w:rFonts w:hint="eastAsia" w:ascii="仿宋_GB2312" w:hAnsi="仿宋_GB2312" w:eastAsia="宋体" w:cs="仿宋_GB2312"/>
        </w:rPr>
        <w:t>万元，公务用车购置费及运行维护费支出决算</w:t>
      </w:r>
      <w:r>
        <w:rPr>
          <w:rFonts w:ascii="仿宋_GB2312" w:hAnsi="仿宋_GB2312" w:eastAsia="宋体" w:cs="仿宋_GB2312"/>
        </w:rPr>
        <w:t>0</w:t>
      </w:r>
      <w:r>
        <w:rPr>
          <w:rFonts w:hint="eastAsia" w:ascii="仿宋_GB2312" w:hAnsi="仿宋_GB2312" w:eastAsia="宋体" w:cs="仿宋_GB2312"/>
        </w:rPr>
        <w:t>万元。其中：</w:t>
      </w:r>
    </w:p>
    <w:p>
      <w:pPr>
        <w:pStyle w:val="9"/>
        <w:spacing w:line="360" w:lineRule="auto"/>
        <w:ind w:firstLine="480" w:firstLineChars="200"/>
        <w:rPr>
          <w:rFonts w:ascii="仿宋_GB2312" w:hAnsi="仿宋_GB2312" w:eastAsia="宋体" w:cs="仿宋_GB2312"/>
        </w:rPr>
      </w:pPr>
      <w:r>
        <w:rPr>
          <w:rFonts w:ascii="仿宋_GB2312" w:hAnsi="仿宋_GB2312" w:eastAsia="宋体" w:cs="仿宋_GB2312"/>
        </w:rPr>
        <w:t>1</w:t>
      </w:r>
      <w:r>
        <w:rPr>
          <w:rFonts w:hint="eastAsia" w:ascii="仿宋_GB2312" w:hAnsi="仿宋_GB2312" w:eastAsia="宋体" w:cs="仿宋_GB2312"/>
        </w:rPr>
        <w:t>、因公出国（境）费支出决算为</w:t>
      </w:r>
      <w:r>
        <w:rPr>
          <w:rFonts w:ascii="仿宋_GB2312" w:hAnsi="仿宋_GB2312" w:eastAsia="宋体" w:cs="仿宋_GB2312"/>
        </w:rPr>
        <w:t>0</w:t>
      </w:r>
      <w:r>
        <w:rPr>
          <w:rFonts w:hint="eastAsia" w:ascii="仿宋_GB2312" w:hAnsi="仿宋_GB2312" w:eastAsia="宋体" w:cs="仿宋_GB2312"/>
        </w:rPr>
        <w:t>万元，全年安排因公出国（境）团组</w:t>
      </w:r>
      <w:r>
        <w:rPr>
          <w:rFonts w:ascii="仿宋_GB2312" w:hAnsi="仿宋_GB2312" w:eastAsia="宋体" w:cs="仿宋_GB2312"/>
        </w:rPr>
        <w:t>0</w:t>
      </w:r>
      <w:r>
        <w:rPr>
          <w:rFonts w:hint="eastAsia" w:ascii="仿宋_GB2312" w:hAnsi="仿宋_GB2312" w:eastAsia="宋体" w:cs="仿宋_GB2312"/>
        </w:rPr>
        <w:t>个，累计</w:t>
      </w:r>
      <w:r>
        <w:rPr>
          <w:rFonts w:ascii="仿宋_GB2312" w:hAnsi="仿宋_GB2312" w:eastAsia="宋体" w:cs="仿宋_GB2312"/>
        </w:rPr>
        <w:t>0</w:t>
      </w:r>
      <w:r>
        <w:rPr>
          <w:rFonts w:hint="eastAsia" w:ascii="仿宋_GB2312" w:hAnsi="仿宋_GB2312" w:eastAsia="宋体" w:cs="仿宋_GB2312"/>
        </w:rPr>
        <w:t>人次。</w:t>
      </w:r>
    </w:p>
    <w:p>
      <w:pPr>
        <w:pStyle w:val="9"/>
        <w:spacing w:line="360" w:lineRule="auto"/>
        <w:ind w:firstLine="480" w:firstLineChars="200"/>
        <w:rPr>
          <w:rFonts w:ascii="仿宋_GB2312" w:hAnsi="仿宋_GB2312" w:eastAsia="宋体" w:cs="仿宋_GB2312"/>
          <w:b/>
        </w:rPr>
      </w:pPr>
      <w:r>
        <w:rPr>
          <w:rFonts w:ascii="仿宋_GB2312" w:hAnsi="仿宋_GB2312" w:eastAsia="宋体" w:cs="仿宋_GB2312"/>
        </w:rPr>
        <w:t>2</w:t>
      </w:r>
      <w:r>
        <w:rPr>
          <w:rFonts w:hint="eastAsia" w:ascii="仿宋_GB2312" w:hAnsi="仿宋_GB2312" w:eastAsia="宋体" w:cs="仿宋_GB2312"/>
        </w:rPr>
        <w:t>、公务接待费支出决算为</w:t>
      </w:r>
      <w:r>
        <w:rPr>
          <w:rFonts w:ascii="仿宋_GB2312" w:hAnsi="仿宋_GB2312" w:eastAsia="宋体" w:cs="仿宋_GB2312"/>
        </w:rPr>
        <w:t>7.46</w:t>
      </w:r>
      <w:r>
        <w:rPr>
          <w:rFonts w:hint="eastAsia" w:ascii="仿宋_GB2312" w:hAnsi="仿宋_GB2312" w:eastAsia="宋体" w:cs="仿宋_GB2312"/>
        </w:rPr>
        <w:t>万元，全年共接待来宾</w:t>
      </w:r>
      <w:r>
        <w:rPr>
          <w:rFonts w:ascii="仿宋_GB2312" w:hAnsi="仿宋_GB2312" w:eastAsia="宋体" w:cs="仿宋_GB2312"/>
        </w:rPr>
        <w:t>104</w:t>
      </w:r>
      <w:r>
        <w:rPr>
          <w:rFonts w:hint="eastAsia" w:ascii="仿宋_GB2312" w:hAnsi="仿宋_GB2312" w:eastAsia="宋体" w:cs="仿宋_GB2312"/>
        </w:rPr>
        <w:t>次，共</w:t>
      </w:r>
      <w:r>
        <w:rPr>
          <w:rFonts w:ascii="仿宋_GB2312" w:hAnsi="仿宋_GB2312" w:eastAsia="宋体" w:cs="仿宋_GB2312"/>
        </w:rPr>
        <w:t>846</w:t>
      </w:r>
      <w:r>
        <w:rPr>
          <w:rFonts w:hint="eastAsia" w:ascii="仿宋_GB2312" w:hAnsi="仿宋_GB2312" w:eastAsia="宋体" w:cs="仿宋_GB2312"/>
        </w:rPr>
        <w:t>人，主要是卫片图斑核查、增减挂钩项目、旱改水指标对接、省市级闲置土地核查等接待支出。</w:t>
      </w:r>
    </w:p>
    <w:p>
      <w:pPr>
        <w:spacing w:line="360" w:lineRule="auto"/>
        <w:ind w:firstLine="480" w:firstLineChars="200"/>
        <w:rPr>
          <w:rFonts w:ascii="仿宋_GB2312" w:eastAsia="仿宋_GB2312" w:cs="仿宋_GB2312"/>
          <w:color w:val="000000"/>
          <w:kern w:val="0"/>
          <w:sz w:val="24"/>
          <w:szCs w:val="24"/>
        </w:rPr>
      </w:pPr>
      <w:r>
        <w:rPr>
          <w:rFonts w:ascii="仿宋_GB2312" w:hAnsi="仿宋_GB2312" w:cs="仿宋_GB2312"/>
          <w:color w:val="000000"/>
          <w:kern w:val="0"/>
          <w:sz w:val="24"/>
          <w:szCs w:val="24"/>
        </w:rPr>
        <w:t>3</w:t>
      </w:r>
      <w:r>
        <w:rPr>
          <w:rFonts w:hint="eastAsia" w:ascii="仿宋_GB2312" w:hAnsi="仿宋_GB2312" w:cs="仿宋_GB2312"/>
          <w:color w:val="000000"/>
          <w:kern w:val="0"/>
          <w:sz w:val="24"/>
          <w:szCs w:val="24"/>
        </w:rPr>
        <w:t>、公务用车购置费及运行维护费支出决算为</w:t>
      </w:r>
      <w:r>
        <w:rPr>
          <w:rFonts w:ascii="仿宋_GB2312" w:eastAsia="仿宋_GB2312" w:cs="仿宋_GB2312"/>
          <w:color w:val="000000"/>
          <w:kern w:val="0"/>
          <w:sz w:val="24"/>
          <w:szCs w:val="24"/>
        </w:rPr>
        <w:t>0</w:t>
      </w:r>
      <w:r>
        <w:rPr>
          <w:rFonts w:hint="eastAsia" w:ascii="仿宋_GB2312" w:hAnsi="仿宋_GB2312" w:cs="仿宋_GB2312"/>
          <w:color w:val="000000"/>
          <w:kern w:val="0"/>
          <w:sz w:val="24"/>
          <w:szCs w:val="24"/>
        </w:rPr>
        <w:t>万元，其中：公务用车购置费</w:t>
      </w:r>
      <w:r>
        <w:rPr>
          <w:rFonts w:ascii="仿宋_GB2312" w:eastAsia="仿宋_GB2312" w:cs="仿宋_GB2312"/>
          <w:color w:val="000000"/>
          <w:kern w:val="0"/>
          <w:sz w:val="24"/>
          <w:szCs w:val="24"/>
        </w:rPr>
        <w:t>0</w:t>
      </w:r>
      <w:r>
        <w:rPr>
          <w:rFonts w:hint="eastAsia" w:ascii="仿宋_GB2312" w:hAnsi="仿宋_GB2312" w:cs="仿宋_GB2312"/>
          <w:color w:val="000000"/>
          <w:kern w:val="0"/>
          <w:sz w:val="24"/>
          <w:szCs w:val="24"/>
        </w:rPr>
        <w:t>万元。公务用车运行维护费</w:t>
      </w:r>
      <w:r>
        <w:rPr>
          <w:rFonts w:ascii="仿宋_GB2312" w:eastAsia="仿宋_GB2312" w:cs="仿宋_GB2312"/>
          <w:color w:val="000000"/>
          <w:kern w:val="0"/>
          <w:sz w:val="24"/>
          <w:szCs w:val="24"/>
        </w:rPr>
        <w:t>0</w:t>
      </w:r>
      <w:r>
        <w:rPr>
          <w:rFonts w:hint="eastAsia" w:ascii="仿宋_GB2312" w:hAnsi="仿宋_GB2312" w:cs="仿宋_GB2312"/>
          <w:color w:val="000000"/>
          <w:kern w:val="0"/>
          <w:sz w:val="24"/>
          <w:szCs w:val="24"/>
        </w:rPr>
        <w:t>万元，截止</w:t>
      </w:r>
      <w:r>
        <w:rPr>
          <w:rFonts w:ascii="仿宋_GB2312" w:hAnsi="仿宋_GB2312" w:cs="仿宋_GB2312"/>
          <w:color w:val="000000"/>
          <w:kern w:val="0"/>
          <w:sz w:val="24"/>
          <w:szCs w:val="24"/>
        </w:rPr>
        <w:t>2020</w:t>
      </w:r>
      <w:r>
        <w:rPr>
          <w:rFonts w:hint="eastAsia" w:ascii="仿宋_GB2312" w:hAnsi="仿宋_GB2312" w:cs="仿宋_GB2312"/>
          <w:color w:val="000000"/>
          <w:kern w:val="0"/>
          <w:sz w:val="24"/>
          <w:szCs w:val="24"/>
        </w:rPr>
        <w:t>年</w:t>
      </w:r>
      <w:r>
        <w:rPr>
          <w:rFonts w:ascii="仿宋_GB2312" w:hAnsi="仿宋_GB2312" w:cs="仿宋_GB2312"/>
          <w:color w:val="000000"/>
          <w:kern w:val="0"/>
          <w:sz w:val="24"/>
          <w:szCs w:val="24"/>
        </w:rPr>
        <w:t>12</w:t>
      </w:r>
      <w:r>
        <w:rPr>
          <w:rFonts w:hint="eastAsia" w:ascii="仿宋_GB2312" w:hAnsi="仿宋_GB2312" w:cs="仿宋_GB2312"/>
          <w:color w:val="000000"/>
          <w:kern w:val="0"/>
          <w:sz w:val="24"/>
          <w:szCs w:val="24"/>
        </w:rPr>
        <w:t>月</w:t>
      </w:r>
      <w:r>
        <w:rPr>
          <w:rFonts w:ascii="仿宋_GB2312" w:hAnsi="仿宋_GB2312" w:cs="仿宋_GB2312"/>
          <w:color w:val="000000"/>
          <w:kern w:val="0"/>
          <w:sz w:val="24"/>
          <w:szCs w:val="24"/>
        </w:rPr>
        <w:t>31</w:t>
      </w:r>
      <w:r>
        <w:rPr>
          <w:rFonts w:hint="eastAsia" w:ascii="仿宋_GB2312" w:hAnsi="仿宋_GB2312" w:cs="仿宋_GB2312"/>
          <w:color w:val="000000"/>
          <w:kern w:val="0"/>
          <w:sz w:val="24"/>
          <w:szCs w:val="24"/>
        </w:rPr>
        <w:t>日，我单位开支财政拨款的公务用车保有量为</w:t>
      </w:r>
      <w:r>
        <w:rPr>
          <w:rFonts w:ascii="仿宋_GB2312" w:eastAsia="仿宋_GB2312" w:cs="仿宋_GB2312"/>
          <w:color w:val="000000"/>
          <w:kern w:val="0"/>
          <w:sz w:val="24"/>
          <w:szCs w:val="24"/>
        </w:rPr>
        <w:t>0</w:t>
      </w:r>
      <w:r>
        <w:rPr>
          <w:rFonts w:hint="eastAsia" w:ascii="仿宋_GB2312" w:hAnsi="仿宋_GB2312" w:cs="仿宋_GB2312"/>
          <w:color w:val="000000"/>
          <w:kern w:val="0"/>
          <w:sz w:val="24"/>
          <w:szCs w:val="24"/>
        </w:rPr>
        <w:t>辆。</w:t>
      </w:r>
    </w:p>
    <w:p>
      <w:pPr>
        <w:pStyle w:val="9"/>
        <w:spacing w:line="360" w:lineRule="auto"/>
        <w:rPr>
          <w:rFonts w:ascii="仿宋_GB2312" w:hAnsi="仿宋_GB2312" w:eastAsia="宋体" w:cs="仿宋_GB2312"/>
          <w:b/>
        </w:rPr>
      </w:pPr>
      <w:r>
        <w:rPr>
          <w:rFonts w:hint="eastAsia" w:ascii="仿宋_GB2312" w:hAnsi="仿宋_GB2312" w:eastAsia="宋体" w:cs="仿宋_GB2312"/>
          <w:b/>
        </w:rPr>
        <w:t>八、政府性基金预算收入支出决算情况</w:t>
      </w:r>
    </w:p>
    <w:p>
      <w:pPr>
        <w:pStyle w:val="9"/>
        <w:spacing w:line="360" w:lineRule="auto"/>
        <w:rPr>
          <w:rFonts w:ascii="仿宋_GB2312" w:hAnsi="仿宋_GB2312" w:eastAsia="宋体" w:cs="仿宋_GB2312"/>
        </w:rPr>
      </w:pPr>
      <w:r>
        <w:rPr>
          <w:rFonts w:ascii="仿宋_GB2312" w:hAnsi="仿宋_GB2312" w:eastAsia="宋体" w:cs="仿宋_GB2312"/>
        </w:rPr>
        <w:t xml:space="preserve">    2020</w:t>
      </w:r>
      <w:r>
        <w:rPr>
          <w:rFonts w:hint="eastAsia" w:ascii="仿宋_GB2312" w:hAnsi="仿宋_GB2312" w:eastAsia="宋体" w:cs="仿宋_GB2312"/>
        </w:rPr>
        <w:t>年度政府性基金预算财政拨款收入</w:t>
      </w:r>
      <w:r>
        <w:rPr>
          <w:rFonts w:ascii="仿宋_GB2312" w:hAnsi="仿宋_GB2312" w:eastAsia="宋体" w:cs="仿宋_GB2312"/>
        </w:rPr>
        <w:t>1022.67</w:t>
      </w:r>
      <w:r>
        <w:rPr>
          <w:rFonts w:hint="eastAsia" w:ascii="仿宋_GB2312" w:hAnsi="仿宋_GB2312" w:eastAsia="宋体" w:cs="仿宋_GB2312"/>
        </w:rPr>
        <w:t>万元；年初结转和结余</w:t>
      </w:r>
      <w:r>
        <w:rPr>
          <w:rFonts w:ascii="仿宋_GB2312" w:hAnsi="仿宋_GB2312" w:eastAsia="宋体" w:cs="仿宋_GB2312"/>
        </w:rPr>
        <w:t>0</w:t>
      </w:r>
      <w:r>
        <w:rPr>
          <w:rFonts w:hint="eastAsia" w:ascii="仿宋_GB2312" w:hAnsi="仿宋_GB2312" w:eastAsia="宋体" w:cs="仿宋_GB2312"/>
        </w:rPr>
        <w:t>万元；支出</w:t>
      </w:r>
      <w:r>
        <w:rPr>
          <w:rFonts w:ascii="仿宋_GB2312" w:hAnsi="仿宋_GB2312" w:eastAsia="宋体" w:cs="仿宋_GB2312"/>
        </w:rPr>
        <w:t>1022.67</w:t>
      </w:r>
      <w:r>
        <w:rPr>
          <w:rFonts w:hint="eastAsia" w:ascii="仿宋_GB2312" w:hAnsi="仿宋_GB2312" w:eastAsia="宋体" w:cs="仿宋_GB2312"/>
        </w:rPr>
        <w:t>万元，其中基本支出</w:t>
      </w:r>
      <w:r>
        <w:rPr>
          <w:rFonts w:ascii="仿宋_GB2312" w:hAnsi="仿宋_GB2312" w:eastAsia="宋体" w:cs="仿宋_GB2312"/>
        </w:rPr>
        <w:t>1022.67</w:t>
      </w:r>
      <w:r>
        <w:rPr>
          <w:rFonts w:hint="eastAsia" w:ascii="仿宋_GB2312" w:hAnsi="仿宋_GB2312" w:eastAsia="宋体" w:cs="仿宋_GB2312"/>
        </w:rPr>
        <w:t>万元，项目支出</w:t>
      </w:r>
      <w:r>
        <w:rPr>
          <w:rFonts w:ascii="仿宋_GB2312" w:hAnsi="仿宋_GB2312" w:eastAsia="宋体" w:cs="仿宋_GB2312"/>
        </w:rPr>
        <w:t>0</w:t>
      </w:r>
      <w:r>
        <w:rPr>
          <w:rFonts w:hint="eastAsia" w:ascii="仿宋_GB2312" w:hAnsi="仿宋_GB2312" w:eastAsia="宋体" w:cs="仿宋_GB2312"/>
        </w:rPr>
        <w:t>万元；年末结转和结余</w:t>
      </w:r>
      <w:r>
        <w:rPr>
          <w:rFonts w:ascii="仿宋_GB2312" w:hAnsi="仿宋_GB2312" w:eastAsia="宋体" w:cs="仿宋_GB2312"/>
        </w:rPr>
        <w:t>0</w:t>
      </w:r>
      <w:r>
        <w:rPr>
          <w:rFonts w:hint="eastAsia" w:ascii="仿宋_GB2312" w:hAnsi="仿宋_GB2312" w:eastAsia="宋体" w:cs="仿宋_GB2312"/>
        </w:rPr>
        <w:t>万元。</w:t>
      </w:r>
    </w:p>
    <w:p>
      <w:pPr>
        <w:pStyle w:val="9"/>
        <w:spacing w:line="360" w:lineRule="auto"/>
        <w:rPr>
          <w:rFonts w:ascii="仿宋_GB2312" w:hAnsi="仿宋_GB2312" w:eastAsia="宋体" w:cs="仿宋_GB2312"/>
          <w:b/>
        </w:rPr>
      </w:pPr>
      <w:r>
        <w:rPr>
          <w:rFonts w:hint="eastAsia" w:ascii="仿宋_GB2312" w:hAnsi="仿宋_GB2312" w:eastAsia="宋体" w:cs="仿宋_GB2312"/>
          <w:b/>
        </w:rPr>
        <w:t>九、关于机关运行经费支出说明</w:t>
      </w:r>
    </w:p>
    <w:p>
      <w:pPr>
        <w:pStyle w:val="9"/>
        <w:spacing w:line="360" w:lineRule="auto"/>
        <w:ind w:firstLine="480" w:firstLineChars="200"/>
        <w:rPr>
          <w:rFonts w:ascii="仿宋_GB2312" w:hAnsi="仿宋_GB2312" w:eastAsia="宋体" w:cs="仿宋_GB2312"/>
        </w:rPr>
      </w:pPr>
      <w:r>
        <w:rPr>
          <w:rFonts w:hint="eastAsia" w:ascii="仿宋_GB2312" w:hAnsi="仿宋_GB2312" w:eastAsia="宋体" w:cs="仿宋_GB2312"/>
        </w:rPr>
        <w:t>本部门</w:t>
      </w:r>
      <w:r>
        <w:rPr>
          <w:rFonts w:ascii="仿宋_GB2312" w:hAnsi="仿宋_GB2312" w:eastAsia="宋体" w:cs="仿宋_GB2312"/>
        </w:rPr>
        <w:t>2020</w:t>
      </w:r>
      <w:r>
        <w:rPr>
          <w:rFonts w:hint="eastAsia" w:ascii="仿宋_GB2312" w:hAnsi="仿宋_GB2312" w:eastAsia="宋体" w:cs="仿宋_GB2312"/>
        </w:rPr>
        <w:t>年度机关运行经费支出</w:t>
      </w:r>
      <w:r>
        <w:rPr>
          <w:rFonts w:ascii="仿宋_GB2312" w:hAnsi="仿宋_GB2312" w:eastAsia="宋体" w:cs="仿宋_GB2312"/>
        </w:rPr>
        <w:t>268.46</w:t>
      </w:r>
      <w:r>
        <w:rPr>
          <w:rFonts w:hint="eastAsia" w:ascii="仿宋_GB2312" w:hAnsi="仿宋_GB2312" w:eastAsia="宋体" w:cs="仿宋_GB2312"/>
        </w:rPr>
        <w:t>万元，比上年决算数减少</w:t>
      </w:r>
      <w:r>
        <w:rPr>
          <w:rFonts w:ascii="仿宋_GB2312" w:hAnsi="仿宋_GB2312" w:eastAsia="宋体" w:cs="仿宋_GB2312"/>
        </w:rPr>
        <w:t>2.22</w:t>
      </w:r>
      <w:r>
        <w:rPr>
          <w:rFonts w:hint="eastAsia" w:ascii="仿宋_GB2312" w:hAnsi="仿宋_GB2312" w:eastAsia="宋体" w:cs="仿宋_GB2312"/>
        </w:rPr>
        <w:t>万元，降低</w:t>
      </w:r>
      <w:r>
        <w:rPr>
          <w:rFonts w:ascii="仿宋_GB2312" w:hAnsi="仿宋_GB2312" w:eastAsia="宋体" w:cs="仿宋_GB2312"/>
        </w:rPr>
        <w:t>0.82%</w:t>
      </w:r>
      <w:r>
        <w:rPr>
          <w:rFonts w:hint="eastAsia" w:ascii="仿宋_GB2312" w:hAnsi="仿宋_GB2312" w:eastAsia="宋体" w:cs="仿宋_GB2312"/>
        </w:rPr>
        <w:t>。主要原因是节约开支。</w:t>
      </w:r>
    </w:p>
    <w:p>
      <w:pPr>
        <w:pStyle w:val="9"/>
        <w:spacing w:line="360" w:lineRule="auto"/>
        <w:rPr>
          <w:rFonts w:ascii="仿宋_GB2312" w:hAnsi="仿宋_GB2312" w:eastAsia="宋体" w:cs="仿宋_GB2312"/>
          <w:b/>
        </w:rPr>
      </w:pPr>
      <w:r>
        <w:rPr>
          <w:rFonts w:hint="eastAsia" w:ascii="仿宋_GB2312" w:hAnsi="仿宋_GB2312" w:eastAsia="宋体" w:cs="仿宋_GB2312"/>
          <w:b/>
        </w:rPr>
        <w:t>十、一般性支出情况</w:t>
      </w:r>
    </w:p>
    <w:p>
      <w:pPr>
        <w:spacing w:line="360" w:lineRule="auto"/>
        <w:ind w:firstLine="480" w:firstLineChars="200"/>
        <w:jc w:val="left"/>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2020年本部门开支会议费4.17万元，用于召开省厅调研会议，与会人员14人，内容为洲岛渔民安置用地调研，此次调研为期四天，预算经费0.55万元；召开以案促改警示大会，与会人员200人，时间半天， 预算经费0.40万元；召开中层骨干选拨会议，参加人数114人，时间大半天，预算经费0.70万元；二次在异地召开沅江市农村宅基地和集体建设用地房地一体确权登记颁证工作动员、培训会，时间半天以上，人数140，预算经费0.80万元；召开省厅政策宣传会，内容是沅江市深入贯彻落实习近平总书记关于土地管理重要论述及国家法律法规政策宣讲，人数 123人， 预算经费0.74万元；召开草尾垃圾焚烧发电维稳会议，人数40人，预算经费0.20万元；召开七一机关支部活动会、退休人员春节座谈会，时间均为半天以上，人数100人，预算经费0.80万元。2020年本部门开支的培训费用于参培人员的省、地级业务培训。</w:t>
      </w:r>
    </w:p>
    <w:p>
      <w:pPr>
        <w:pStyle w:val="9"/>
        <w:spacing w:line="360" w:lineRule="auto"/>
        <w:rPr>
          <w:rFonts w:ascii="仿宋_GB2312" w:hAnsi="仿宋_GB2312" w:eastAsia="宋体" w:cs="仿宋_GB2312"/>
          <w:b/>
        </w:rPr>
      </w:pPr>
      <w:r>
        <w:rPr>
          <w:rFonts w:hint="eastAsia" w:ascii="仿宋_GB2312" w:hAnsi="仿宋_GB2312" w:eastAsia="宋体" w:cs="仿宋_GB2312"/>
          <w:b/>
        </w:rPr>
        <w:t>十一、关于政府采购支出说明</w:t>
      </w:r>
    </w:p>
    <w:p>
      <w:pPr>
        <w:pStyle w:val="9"/>
        <w:spacing w:line="360" w:lineRule="auto"/>
        <w:ind w:firstLine="480" w:firstLineChars="200"/>
        <w:rPr>
          <w:rFonts w:ascii="仿宋_GB2312" w:hAnsi="仿宋_GB2312" w:eastAsia="宋体" w:cs="仿宋_GB2312"/>
        </w:rPr>
      </w:pPr>
      <w:r>
        <w:rPr>
          <w:rFonts w:hint="eastAsia" w:ascii="仿宋_GB2312" w:hAnsi="仿宋_GB2312" w:eastAsia="宋体" w:cs="仿宋_GB2312"/>
        </w:rPr>
        <w:t>本部门</w:t>
      </w:r>
      <w:r>
        <w:rPr>
          <w:rFonts w:ascii="仿宋_GB2312" w:hAnsi="仿宋_GB2312" w:eastAsia="宋体" w:cs="仿宋_GB2312"/>
        </w:rPr>
        <w:t>2020</w:t>
      </w:r>
      <w:r>
        <w:rPr>
          <w:rFonts w:hint="eastAsia" w:ascii="仿宋_GB2312" w:hAnsi="仿宋_GB2312" w:eastAsia="宋体" w:cs="仿宋_GB2312"/>
        </w:rPr>
        <w:t>年度政府采购支出总额</w:t>
      </w:r>
      <w:r>
        <w:rPr>
          <w:rFonts w:ascii="仿宋_GB2312" w:hAnsi="仿宋_GB2312" w:eastAsia="宋体" w:cs="仿宋_GB2312"/>
        </w:rPr>
        <w:t>198.21</w:t>
      </w:r>
      <w:r>
        <w:rPr>
          <w:rFonts w:hint="eastAsia" w:ascii="仿宋_GB2312" w:hAnsi="仿宋_GB2312" w:eastAsia="宋体" w:cs="仿宋_GB2312"/>
        </w:rPr>
        <w:t>万元，其中：政府采购货物支出</w:t>
      </w:r>
      <w:r>
        <w:rPr>
          <w:rFonts w:ascii="仿宋_GB2312" w:hAnsi="仿宋_GB2312" w:eastAsia="宋体" w:cs="仿宋_GB2312"/>
        </w:rPr>
        <w:t xml:space="preserve">93.08 </w:t>
      </w:r>
      <w:r>
        <w:rPr>
          <w:rFonts w:hint="eastAsia" w:ascii="仿宋_GB2312" w:hAnsi="仿宋_GB2312" w:eastAsia="宋体" w:cs="仿宋_GB2312"/>
        </w:rPr>
        <w:t>万元、政府采购工程支出</w:t>
      </w:r>
      <w:r>
        <w:rPr>
          <w:rFonts w:ascii="仿宋_GB2312" w:hAnsi="仿宋_GB2312" w:eastAsia="宋体" w:cs="仿宋_GB2312"/>
        </w:rPr>
        <w:t>86.18</w:t>
      </w:r>
      <w:r>
        <w:rPr>
          <w:rFonts w:hint="eastAsia" w:ascii="仿宋_GB2312" w:hAnsi="仿宋_GB2312" w:eastAsia="宋体" w:cs="仿宋_GB2312"/>
        </w:rPr>
        <w:t>万元、政府采购服务支出</w:t>
      </w:r>
      <w:r>
        <w:rPr>
          <w:rFonts w:ascii="仿宋_GB2312" w:hAnsi="仿宋_GB2312" w:eastAsia="宋体" w:cs="仿宋_GB2312"/>
        </w:rPr>
        <w:t>18.95</w:t>
      </w:r>
      <w:r>
        <w:rPr>
          <w:rFonts w:hint="eastAsia" w:ascii="仿宋_GB2312" w:hAnsi="仿宋_GB2312" w:eastAsia="宋体" w:cs="仿宋_GB2312"/>
        </w:rPr>
        <w:t>万元。授予中小企业合同金额</w:t>
      </w:r>
      <w:r>
        <w:rPr>
          <w:rFonts w:ascii="仿宋_GB2312" w:hAnsi="仿宋_GB2312" w:eastAsia="宋体" w:cs="仿宋_GB2312"/>
        </w:rPr>
        <w:t>78.55</w:t>
      </w:r>
      <w:r>
        <w:rPr>
          <w:rFonts w:hint="eastAsia" w:ascii="仿宋_GB2312" w:hAnsi="仿宋_GB2312" w:eastAsia="宋体" w:cs="仿宋_GB2312"/>
        </w:rPr>
        <w:t>万元，占政府采购支出总额的</w:t>
      </w:r>
      <w:r>
        <w:rPr>
          <w:rFonts w:ascii="仿宋_GB2312" w:hAnsi="仿宋_GB2312" w:eastAsia="宋体" w:cs="仿宋_GB2312"/>
        </w:rPr>
        <w:t>39.62</w:t>
      </w:r>
      <w:r>
        <w:rPr>
          <w:rFonts w:hint="eastAsia" w:ascii="仿宋_GB2312" w:hAnsi="仿宋_GB2312" w:eastAsia="宋体" w:cs="仿宋_GB2312"/>
        </w:rPr>
        <w:t>%</w:t>
      </w:r>
      <w:r>
        <w:rPr>
          <w:rFonts w:ascii="仿宋_GB2312" w:hAnsi="仿宋_GB2312" w:eastAsia="宋体" w:cs="仿宋_GB2312"/>
        </w:rPr>
        <w:t>.</w:t>
      </w:r>
      <w:r>
        <w:rPr>
          <w:rFonts w:hint="eastAsia" w:ascii="仿宋_GB2312" w:hAnsi="仿宋_GB2312" w:eastAsia="宋体" w:cs="仿宋_GB2312"/>
        </w:rPr>
        <w:t>其中：授予小微企业合同金额</w:t>
      </w:r>
      <w:r>
        <w:rPr>
          <w:rFonts w:ascii="仿宋_GB2312" w:hAnsi="仿宋_GB2312" w:eastAsia="宋体" w:cs="仿宋_GB2312"/>
        </w:rPr>
        <w:t>78.55</w:t>
      </w:r>
      <w:r>
        <w:rPr>
          <w:rFonts w:hint="eastAsia" w:ascii="仿宋_GB2312" w:hAnsi="仿宋_GB2312" w:eastAsia="宋体" w:cs="仿宋_GB2312"/>
        </w:rPr>
        <w:t>万元。</w:t>
      </w:r>
    </w:p>
    <w:p>
      <w:pPr>
        <w:pStyle w:val="9"/>
        <w:spacing w:line="360" w:lineRule="auto"/>
        <w:rPr>
          <w:rFonts w:ascii="仿宋_GB2312" w:hAnsi="仿宋_GB2312" w:eastAsia="宋体" w:cs="仿宋_GB2312"/>
          <w:b/>
        </w:rPr>
      </w:pPr>
      <w:r>
        <w:rPr>
          <w:rFonts w:hint="eastAsia" w:ascii="仿宋_GB2312" w:hAnsi="仿宋_GB2312" w:eastAsia="宋体" w:cs="仿宋_GB2312"/>
          <w:b/>
        </w:rPr>
        <w:t>十二、关于国有资产占用情况说明</w:t>
      </w:r>
    </w:p>
    <w:p>
      <w:pPr>
        <w:pStyle w:val="9"/>
        <w:spacing w:line="360" w:lineRule="auto"/>
        <w:ind w:firstLine="480" w:firstLineChars="200"/>
        <w:rPr>
          <w:rFonts w:ascii="仿宋_GB2312" w:hAnsi="仿宋_GB2312" w:eastAsia="宋体" w:cs="仿宋_GB2312"/>
        </w:rPr>
      </w:pPr>
      <w:r>
        <w:rPr>
          <w:rFonts w:hint="eastAsia" w:ascii="仿宋_GB2312" w:hAnsi="仿宋_GB2312" w:eastAsia="宋体" w:cs="仿宋_GB2312"/>
        </w:rPr>
        <w:t>截至</w:t>
      </w:r>
      <w:r>
        <w:rPr>
          <w:rFonts w:ascii="仿宋_GB2312" w:hAnsi="仿宋_GB2312" w:eastAsia="宋体" w:cs="仿宋_GB2312"/>
        </w:rPr>
        <w:t>2020</w:t>
      </w:r>
      <w:r>
        <w:rPr>
          <w:rFonts w:hint="eastAsia" w:ascii="仿宋_GB2312" w:hAnsi="仿宋_GB2312" w:eastAsia="宋体" w:cs="仿宋_GB2312"/>
        </w:rPr>
        <w:t>年</w:t>
      </w:r>
      <w:r>
        <w:rPr>
          <w:rFonts w:ascii="仿宋_GB2312" w:hAnsi="仿宋_GB2312" w:eastAsia="宋体" w:cs="仿宋_GB2312"/>
        </w:rPr>
        <w:t>12</w:t>
      </w:r>
      <w:r>
        <w:rPr>
          <w:rFonts w:hint="eastAsia" w:ascii="仿宋_GB2312" w:hAnsi="仿宋_GB2312" w:eastAsia="宋体" w:cs="仿宋_GB2312"/>
        </w:rPr>
        <w:t>月</w:t>
      </w:r>
      <w:r>
        <w:rPr>
          <w:rFonts w:ascii="仿宋_GB2312" w:hAnsi="仿宋_GB2312" w:eastAsia="宋体" w:cs="仿宋_GB2312"/>
        </w:rPr>
        <w:t>31</w:t>
      </w:r>
      <w:r>
        <w:rPr>
          <w:rFonts w:hint="eastAsia" w:ascii="仿宋_GB2312" w:hAnsi="仿宋_GB2312" w:eastAsia="宋体" w:cs="仿宋_GB2312"/>
        </w:rPr>
        <w:t>日，本单位共有车辆</w:t>
      </w:r>
      <w:r>
        <w:rPr>
          <w:rFonts w:ascii="仿宋_GB2312" w:hAnsi="仿宋_GB2312" w:eastAsia="宋体" w:cs="仿宋_GB2312"/>
        </w:rPr>
        <w:t>0</w:t>
      </w:r>
      <w:r>
        <w:rPr>
          <w:rFonts w:hint="eastAsia" w:ascii="仿宋_GB2312" w:hAnsi="仿宋_GB2312" w:eastAsia="宋体" w:cs="仿宋_GB2312"/>
        </w:rPr>
        <w:t>辆，其中，主要领导干部用车</w:t>
      </w:r>
      <w:r>
        <w:rPr>
          <w:rFonts w:ascii="仿宋_GB2312" w:hAnsi="仿宋_GB2312" w:eastAsia="宋体" w:cs="仿宋_GB2312"/>
        </w:rPr>
        <w:t>0</w:t>
      </w:r>
      <w:r>
        <w:rPr>
          <w:rFonts w:hint="eastAsia" w:ascii="仿宋_GB2312" w:hAnsi="仿宋_GB2312" w:eastAsia="宋体" w:cs="仿宋_GB2312"/>
        </w:rPr>
        <w:t>辆，机要通信用车</w:t>
      </w:r>
      <w:r>
        <w:rPr>
          <w:rFonts w:ascii="仿宋_GB2312" w:hAnsi="仿宋_GB2312" w:eastAsia="宋体" w:cs="仿宋_GB2312"/>
        </w:rPr>
        <w:t>0</w:t>
      </w:r>
      <w:r>
        <w:rPr>
          <w:rFonts w:hint="eastAsia" w:ascii="仿宋_GB2312" w:hAnsi="仿宋_GB2312" w:eastAsia="宋体" w:cs="仿宋_GB2312"/>
        </w:rPr>
        <w:t>辆、应急保障用车</w:t>
      </w:r>
      <w:r>
        <w:rPr>
          <w:rFonts w:ascii="仿宋_GB2312" w:hAnsi="仿宋_GB2312" w:eastAsia="宋体" w:cs="仿宋_GB2312"/>
        </w:rPr>
        <w:t>0</w:t>
      </w:r>
      <w:r>
        <w:rPr>
          <w:rFonts w:hint="eastAsia" w:ascii="仿宋_GB2312" w:hAnsi="仿宋_GB2312" w:eastAsia="宋体" w:cs="仿宋_GB2312"/>
        </w:rPr>
        <w:t>辆、执法执勤用车</w:t>
      </w:r>
      <w:r>
        <w:rPr>
          <w:rFonts w:ascii="仿宋_GB2312" w:hAnsi="仿宋_GB2312" w:eastAsia="宋体" w:cs="仿宋_GB2312"/>
        </w:rPr>
        <w:t>0</w:t>
      </w:r>
      <w:r>
        <w:rPr>
          <w:rFonts w:hint="eastAsia" w:ascii="仿宋_GB2312" w:hAnsi="仿宋_GB2312" w:eastAsia="宋体" w:cs="仿宋_GB2312"/>
        </w:rPr>
        <w:t>辆、特种专业技术用车</w:t>
      </w:r>
      <w:r>
        <w:rPr>
          <w:rFonts w:ascii="仿宋_GB2312" w:hAnsi="仿宋_GB2312" w:eastAsia="宋体" w:cs="仿宋_GB2312"/>
        </w:rPr>
        <w:t>0</w:t>
      </w:r>
      <w:r>
        <w:rPr>
          <w:rFonts w:hint="eastAsia" w:ascii="仿宋_GB2312" w:hAnsi="仿宋_GB2312" w:eastAsia="宋体" w:cs="仿宋_GB2312"/>
        </w:rPr>
        <w:t>辆、其他用车</w:t>
      </w:r>
      <w:r>
        <w:rPr>
          <w:rFonts w:ascii="仿宋_GB2312" w:hAnsi="仿宋_GB2312" w:eastAsia="宋体" w:cs="仿宋_GB2312"/>
        </w:rPr>
        <w:t>0</w:t>
      </w:r>
      <w:r>
        <w:rPr>
          <w:rFonts w:hint="eastAsia" w:ascii="仿宋_GB2312" w:hAnsi="仿宋_GB2312" w:eastAsia="宋体" w:cs="仿宋_GB2312"/>
        </w:rPr>
        <w:t>辆；单位价值</w:t>
      </w:r>
      <w:r>
        <w:rPr>
          <w:rFonts w:ascii="仿宋_GB2312" w:hAnsi="仿宋_GB2312" w:eastAsia="宋体" w:cs="仿宋_GB2312"/>
        </w:rPr>
        <w:t>50</w:t>
      </w:r>
      <w:r>
        <w:rPr>
          <w:rFonts w:hint="eastAsia" w:ascii="仿宋_GB2312" w:hAnsi="仿宋_GB2312" w:eastAsia="宋体" w:cs="仿宋_GB2312"/>
        </w:rPr>
        <w:t>万元以上通用设备</w:t>
      </w:r>
      <w:r>
        <w:rPr>
          <w:rFonts w:ascii="仿宋_GB2312" w:hAnsi="仿宋_GB2312" w:eastAsia="宋体" w:cs="仿宋_GB2312"/>
        </w:rPr>
        <w:t>0</w:t>
      </w:r>
      <w:r>
        <w:rPr>
          <w:rFonts w:hint="eastAsia" w:ascii="仿宋_GB2312" w:hAnsi="仿宋_GB2312" w:eastAsia="宋体" w:cs="仿宋_GB2312"/>
        </w:rPr>
        <w:t>台（套）；单位价值</w:t>
      </w:r>
      <w:r>
        <w:rPr>
          <w:rFonts w:ascii="仿宋_GB2312" w:hAnsi="仿宋_GB2312" w:eastAsia="宋体" w:cs="仿宋_GB2312"/>
        </w:rPr>
        <w:t>100</w:t>
      </w:r>
      <w:r>
        <w:rPr>
          <w:rFonts w:hint="eastAsia" w:ascii="仿宋_GB2312" w:hAnsi="仿宋_GB2312" w:eastAsia="宋体" w:cs="仿宋_GB2312"/>
        </w:rPr>
        <w:t>万元以上专用设备</w:t>
      </w:r>
      <w:r>
        <w:rPr>
          <w:rFonts w:ascii="仿宋_GB2312" w:hAnsi="仿宋_GB2312" w:eastAsia="宋体" w:cs="仿宋_GB2312"/>
        </w:rPr>
        <w:t>0</w:t>
      </w:r>
      <w:r>
        <w:rPr>
          <w:rFonts w:hint="eastAsia" w:ascii="仿宋_GB2312" w:hAnsi="仿宋_GB2312" w:eastAsia="宋体" w:cs="仿宋_GB2312"/>
        </w:rPr>
        <w:t>台（套）。</w:t>
      </w:r>
    </w:p>
    <w:p>
      <w:pPr>
        <w:pStyle w:val="9"/>
        <w:spacing w:line="360" w:lineRule="auto"/>
        <w:rPr>
          <w:rFonts w:ascii="仿宋_GB2312" w:hAnsi="仿宋_GB2312" w:eastAsia="宋体" w:cs="仿宋_GB2312"/>
          <w:b/>
        </w:rPr>
      </w:pPr>
      <w:r>
        <w:rPr>
          <w:rFonts w:hint="eastAsia" w:ascii="仿宋_GB2312" w:hAnsi="仿宋_GB2312" w:eastAsia="宋体" w:cs="仿宋_GB2312"/>
          <w:b/>
        </w:rPr>
        <w:t>十三、关于</w:t>
      </w:r>
      <w:r>
        <w:rPr>
          <w:rFonts w:ascii="仿宋_GB2312" w:hAnsi="仿宋_GB2312" w:eastAsia="宋体" w:cs="仿宋_GB2312"/>
          <w:b/>
        </w:rPr>
        <w:t>2020</w:t>
      </w:r>
      <w:r>
        <w:rPr>
          <w:rFonts w:hint="eastAsia" w:ascii="仿宋_GB2312" w:hAnsi="仿宋_GB2312" w:eastAsia="宋体" w:cs="仿宋_GB2312"/>
          <w:b/>
        </w:rPr>
        <w:t>年度预算绩效情况的说明（见附件）</w:t>
      </w:r>
    </w:p>
    <w:p>
      <w:pPr>
        <w:pStyle w:val="9"/>
        <w:spacing w:line="360" w:lineRule="auto"/>
        <w:rPr>
          <w:rFonts w:ascii="仿宋_GB2312" w:hAnsi="仿宋_GB2312" w:eastAsia="宋体" w:cs="仿宋_GB2312"/>
        </w:rPr>
      </w:pPr>
    </w:p>
    <w:p>
      <w:pPr>
        <w:pStyle w:val="9"/>
        <w:spacing w:line="360" w:lineRule="auto"/>
        <w:jc w:val="right"/>
        <w:rPr>
          <w:rFonts w:ascii="仿宋_GB2312" w:hAnsi="仿宋_GB2312" w:eastAsia="宋体" w:cs="仿宋_GB2312"/>
        </w:rPr>
      </w:pPr>
    </w:p>
    <w:p>
      <w:pPr>
        <w:pStyle w:val="9"/>
        <w:spacing w:line="360" w:lineRule="auto"/>
        <w:jc w:val="right"/>
        <w:rPr>
          <w:rFonts w:ascii="仿宋_GB2312" w:hAnsi="仿宋_GB2312" w:eastAsia="宋体" w:cs="仿宋_GB2312"/>
        </w:rPr>
      </w:pPr>
    </w:p>
    <w:p>
      <w:pPr>
        <w:pStyle w:val="9"/>
        <w:spacing w:line="360" w:lineRule="auto"/>
        <w:jc w:val="right"/>
        <w:rPr>
          <w:rFonts w:ascii="仿宋_GB2312" w:hAnsi="仿宋_GB2312" w:eastAsia="宋体" w:cs="仿宋_GB2312"/>
        </w:rPr>
      </w:pPr>
    </w:p>
    <w:p>
      <w:pPr>
        <w:pStyle w:val="9"/>
        <w:spacing w:line="360" w:lineRule="auto"/>
        <w:jc w:val="right"/>
        <w:rPr>
          <w:rFonts w:ascii="仿宋_GB2312" w:hAnsi="仿宋_GB2312" w:eastAsia="宋体" w:cs="仿宋_GB2312"/>
        </w:rPr>
      </w:pPr>
    </w:p>
    <w:p>
      <w:pPr>
        <w:pStyle w:val="9"/>
        <w:spacing w:line="360" w:lineRule="auto"/>
        <w:jc w:val="right"/>
        <w:rPr>
          <w:rFonts w:ascii="仿宋_GB2312" w:hAnsi="仿宋_GB2312" w:eastAsia="宋体" w:cs="仿宋_GB2312"/>
        </w:rPr>
      </w:pPr>
    </w:p>
    <w:p>
      <w:pPr>
        <w:pStyle w:val="9"/>
        <w:spacing w:line="360" w:lineRule="auto"/>
        <w:jc w:val="right"/>
        <w:rPr>
          <w:rFonts w:ascii="仿宋_GB2312" w:hAnsi="仿宋_GB2312" w:eastAsia="宋体" w:cs="仿宋_GB2312"/>
        </w:rPr>
      </w:pPr>
    </w:p>
    <w:p>
      <w:pPr>
        <w:spacing w:line="360" w:lineRule="auto"/>
        <w:jc w:val="right"/>
        <w:rPr>
          <w:rFonts w:ascii="仿宋_GB2312" w:eastAsia="仿宋_GB2312" w:cs="仿宋_GB2312"/>
          <w:color w:val="000000"/>
          <w:kern w:val="0"/>
          <w:sz w:val="24"/>
          <w:szCs w:val="24"/>
        </w:rPr>
      </w:pPr>
    </w:p>
    <w:p>
      <w:pPr>
        <w:spacing w:line="360" w:lineRule="auto"/>
        <w:jc w:val="right"/>
        <w:rPr>
          <w:rFonts w:ascii="仿宋_GB2312" w:eastAsia="仿宋_GB2312" w:cs="仿宋_GB2312"/>
          <w:color w:val="000000"/>
          <w:kern w:val="0"/>
          <w:sz w:val="24"/>
          <w:szCs w:val="24"/>
        </w:rPr>
      </w:pPr>
    </w:p>
    <w:p>
      <w:pPr>
        <w:spacing w:line="360" w:lineRule="auto"/>
        <w:jc w:val="right"/>
        <w:rPr>
          <w:rFonts w:ascii="仿宋_GB2312" w:eastAsia="仿宋_GB2312" w:cs="仿宋_GB2312"/>
          <w:color w:val="000000"/>
          <w:kern w:val="0"/>
          <w:sz w:val="24"/>
          <w:szCs w:val="24"/>
        </w:rPr>
      </w:pPr>
    </w:p>
    <w:p>
      <w:pPr>
        <w:spacing w:line="360" w:lineRule="auto"/>
        <w:jc w:val="right"/>
        <w:rPr>
          <w:rFonts w:ascii="仿宋_GB2312" w:eastAsia="仿宋_GB2312" w:cs="仿宋_GB2312"/>
          <w:color w:val="000000"/>
          <w:kern w:val="0"/>
          <w:sz w:val="24"/>
          <w:szCs w:val="24"/>
        </w:rPr>
      </w:pPr>
    </w:p>
    <w:p>
      <w:pPr>
        <w:spacing w:line="360" w:lineRule="auto"/>
        <w:jc w:val="right"/>
        <w:rPr>
          <w:rFonts w:ascii="仿宋_GB2312" w:eastAsia="仿宋_GB2312" w:cs="仿宋_GB2312"/>
          <w:color w:val="000000"/>
          <w:kern w:val="0"/>
          <w:sz w:val="24"/>
          <w:szCs w:val="24"/>
        </w:rPr>
      </w:pPr>
    </w:p>
    <w:p>
      <w:pPr>
        <w:spacing w:line="360" w:lineRule="auto"/>
        <w:jc w:val="right"/>
        <w:rPr>
          <w:rFonts w:ascii="仿宋_GB2312" w:eastAsia="仿宋_GB2312" w:cs="仿宋_GB2312"/>
          <w:color w:val="000000"/>
          <w:kern w:val="0"/>
          <w:sz w:val="24"/>
          <w:szCs w:val="24"/>
        </w:rPr>
      </w:pPr>
    </w:p>
    <w:p>
      <w:pPr>
        <w:spacing w:line="360" w:lineRule="auto"/>
        <w:jc w:val="right"/>
        <w:rPr>
          <w:rFonts w:ascii="仿宋_GB2312" w:eastAsia="仿宋_GB2312" w:cs="仿宋_GB2312"/>
          <w:color w:val="000000"/>
          <w:kern w:val="0"/>
          <w:sz w:val="24"/>
          <w:szCs w:val="24"/>
        </w:rPr>
      </w:pPr>
    </w:p>
    <w:p>
      <w:pPr>
        <w:spacing w:line="360" w:lineRule="auto"/>
        <w:jc w:val="right"/>
        <w:rPr>
          <w:rFonts w:ascii="仿宋_GB2312" w:eastAsia="仿宋_GB2312" w:cs="仿宋_GB2312"/>
          <w:color w:val="000000"/>
          <w:kern w:val="0"/>
          <w:sz w:val="24"/>
          <w:szCs w:val="24"/>
        </w:rPr>
      </w:pPr>
    </w:p>
    <w:p>
      <w:pPr>
        <w:spacing w:line="360" w:lineRule="auto"/>
        <w:jc w:val="right"/>
        <w:rPr>
          <w:rFonts w:ascii="仿宋_GB2312" w:eastAsia="仿宋_GB2312" w:cs="仿宋_GB2312"/>
          <w:color w:val="000000"/>
          <w:kern w:val="0"/>
          <w:sz w:val="24"/>
          <w:szCs w:val="24"/>
        </w:rPr>
      </w:pPr>
    </w:p>
    <w:p>
      <w:pPr>
        <w:spacing w:line="360" w:lineRule="auto"/>
        <w:jc w:val="right"/>
        <w:rPr>
          <w:rFonts w:ascii="仿宋_GB2312" w:eastAsia="仿宋_GB2312" w:cs="仿宋_GB2312"/>
          <w:color w:val="000000"/>
          <w:kern w:val="0"/>
          <w:sz w:val="24"/>
          <w:szCs w:val="24"/>
        </w:rPr>
      </w:pPr>
    </w:p>
    <w:p>
      <w:pPr>
        <w:spacing w:line="360" w:lineRule="auto"/>
        <w:jc w:val="right"/>
        <w:rPr>
          <w:rFonts w:ascii="仿宋_GB2312" w:eastAsia="仿宋_GB2312" w:cs="仿宋_GB2312"/>
          <w:color w:val="000000"/>
          <w:kern w:val="0"/>
          <w:sz w:val="24"/>
          <w:szCs w:val="24"/>
        </w:rPr>
      </w:pPr>
    </w:p>
    <w:p>
      <w:pPr>
        <w:spacing w:line="360" w:lineRule="auto"/>
        <w:jc w:val="right"/>
        <w:rPr>
          <w:rFonts w:ascii="仿宋_GB2312" w:eastAsia="仿宋_GB2312" w:cs="仿宋_GB2312"/>
          <w:color w:val="000000"/>
          <w:kern w:val="0"/>
          <w:sz w:val="24"/>
          <w:szCs w:val="24"/>
        </w:rPr>
      </w:pPr>
    </w:p>
    <w:p>
      <w:pPr>
        <w:spacing w:line="360" w:lineRule="auto"/>
        <w:jc w:val="right"/>
        <w:rPr>
          <w:rFonts w:ascii="仿宋_GB2312" w:eastAsia="仿宋_GB2312" w:cs="仿宋_GB2312"/>
          <w:color w:val="000000"/>
          <w:kern w:val="0"/>
          <w:sz w:val="24"/>
          <w:szCs w:val="24"/>
        </w:rPr>
      </w:pPr>
    </w:p>
    <w:p>
      <w:pPr>
        <w:spacing w:line="360" w:lineRule="auto"/>
        <w:jc w:val="right"/>
        <w:rPr>
          <w:rFonts w:ascii="仿宋_GB2312" w:eastAsia="仿宋_GB2312" w:cs="仿宋_GB2312"/>
          <w:color w:val="000000"/>
          <w:kern w:val="0"/>
          <w:sz w:val="24"/>
          <w:szCs w:val="24"/>
        </w:rPr>
      </w:pPr>
    </w:p>
    <w:p>
      <w:pPr>
        <w:spacing w:line="360" w:lineRule="auto"/>
        <w:jc w:val="right"/>
        <w:rPr>
          <w:rFonts w:ascii="仿宋_GB2312" w:eastAsia="仿宋_GB2312" w:cs="仿宋_GB2312"/>
          <w:color w:val="000000"/>
          <w:kern w:val="0"/>
          <w:sz w:val="24"/>
          <w:szCs w:val="24"/>
        </w:rPr>
      </w:pPr>
    </w:p>
    <w:p>
      <w:pPr>
        <w:jc w:val="right"/>
        <w:rPr>
          <w:b/>
          <w:sz w:val="48"/>
          <w:szCs w:val="48"/>
        </w:rPr>
      </w:pPr>
    </w:p>
    <w:p>
      <w:pPr>
        <w:jc w:val="right"/>
        <w:rPr>
          <w:b/>
          <w:sz w:val="48"/>
          <w:szCs w:val="48"/>
        </w:rPr>
      </w:pPr>
    </w:p>
    <w:p>
      <w:pPr>
        <w:jc w:val="right"/>
        <w:rPr>
          <w:b/>
          <w:sz w:val="48"/>
          <w:szCs w:val="48"/>
        </w:rPr>
      </w:pPr>
    </w:p>
    <w:p>
      <w:pPr>
        <w:spacing w:line="360" w:lineRule="auto"/>
        <w:jc w:val="right"/>
        <w:rPr>
          <w:b/>
          <w:sz w:val="48"/>
          <w:szCs w:val="48"/>
        </w:rPr>
      </w:pPr>
    </w:p>
    <w:p>
      <w:pPr>
        <w:jc w:val="center"/>
        <w:rPr>
          <w:b/>
          <w:sz w:val="48"/>
          <w:szCs w:val="48"/>
        </w:rPr>
      </w:pPr>
    </w:p>
    <w:p>
      <w:pPr>
        <w:ind w:right="1687"/>
        <w:jc w:val="left"/>
        <w:rPr>
          <w:b/>
          <w:sz w:val="48"/>
          <w:szCs w:val="48"/>
        </w:rPr>
      </w:pPr>
    </w:p>
    <w:p>
      <w:pPr>
        <w:ind w:right="1687"/>
        <w:jc w:val="left"/>
        <w:rPr>
          <w:b/>
          <w:sz w:val="48"/>
          <w:szCs w:val="48"/>
        </w:rPr>
      </w:pPr>
    </w:p>
    <w:p>
      <w:pPr>
        <w:ind w:right="1205"/>
        <w:jc w:val="right"/>
        <w:rPr>
          <w:b/>
          <w:sz w:val="48"/>
          <w:szCs w:val="48"/>
        </w:rPr>
      </w:pPr>
    </w:p>
    <w:p>
      <w:pPr>
        <w:ind w:firstLine="4180" w:firstLineChars="950"/>
        <w:rPr>
          <w:b/>
          <w:sz w:val="44"/>
          <w:szCs w:val="44"/>
        </w:rPr>
      </w:pPr>
      <w:r>
        <w:rPr>
          <w:rFonts w:hint="eastAsia"/>
          <w:b/>
          <w:sz w:val="44"/>
          <w:szCs w:val="44"/>
        </w:rPr>
        <w:t>第四部分</w:t>
      </w:r>
    </w:p>
    <w:p>
      <w:pPr>
        <w:spacing w:line="160" w:lineRule="exact"/>
        <w:jc w:val="center"/>
        <w:rPr>
          <w:b/>
          <w:sz w:val="44"/>
          <w:szCs w:val="44"/>
        </w:rPr>
      </w:pPr>
    </w:p>
    <w:p>
      <w:pPr>
        <w:ind w:firstLine="4180" w:firstLineChars="950"/>
        <w:rPr>
          <w:b/>
          <w:sz w:val="44"/>
          <w:szCs w:val="44"/>
        </w:rPr>
      </w:pPr>
      <w:r>
        <w:rPr>
          <w:rFonts w:hint="eastAsia"/>
          <w:b/>
          <w:sz w:val="44"/>
          <w:szCs w:val="44"/>
        </w:rPr>
        <w:t>名词解释</w:t>
      </w:r>
    </w:p>
    <w:p>
      <w:pPr>
        <w:widowControl/>
        <w:jc w:val="right"/>
        <w:rPr>
          <w:rFonts w:ascii="黑体" w:eastAsia="黑体" w:cs="黑体"/>
          <w:color w:val="000000"/>
          <w:kern w:val="0"/>
          <w:sz w:val="28"/>
          <w:szCs w:val="28"/>
        </w:rPr>
      </w:pPr>
    </w:p>
    <w:p>
      <w:pPr>
        <w:widowControl/>
        <w:jc w:val="right"/>
        <w:rPr>
          <w:rFonts w:ascii="黑体" w:eastAsia="黑体" w:cs="黑体"/>
          <w:color w:val="000000"/>
          <w:kern w:val="0"/>
          <w:sz w:val="28"/>
          <w:szCs w:val="28"/>
        </w:rPr>
      </w:pPr>
    </w:p>
    <w:p>
      <w:pPr>
        <w:widowControl/>
        <w:jc w:val="right"/>
        <w:rPr>
          <w:rFonts w:ascii="黑体" w:eastAsia="黑体" w:cs="黑体"/>
          <w:color w:val="000000"/>
          <w:kern w:val="0"/>
          <w:sz w:val="28"/>
          <w:szCs w:val="28"/>
        </w:rPr>
      </w:pPr>
    </w:p>
    <w:p>
      <w:pPr>
        <w:widowControl/>
        <w:jc w:val="right"/>
        <w:rPr>
          <w:rFonts w:ascii="黑体" w:eastAsia="黑体" w:cs="黑体"/>
          <w:color w:val="000000"/>
          <w:kern w:val="0"/>
          <w:sz w:val="28"/>
          <w:szCs w:val="28"/>
        </w:rPr>
      </w:pPr>
    </w:p>
    <w:p>
      <w:pPr>
        <w:widowControl/>
        <w:jc w:val="right"/>
        <w:rPr>
          <w:rFonts w:ascii="黑体" w:eastAsia="黑体" w:cs="黑体"/>
          <w:color w:val="000000"/>
          <w:kern w:val="0"/>
          <w:sz w:val="28"/>
          <w:szCs w:val="28"/>
        </w:rPr>
      </w:pPr>
    </w:p>
    <w:p>
      <w:pPr>
        <w:widowControl/>
        <w:jc w:val="right"/>
        <w:rPr>
          <w:rFonts w:ascii="黑体" w:eastAsia="黑体" w:cs="黑体"/>
          <w:color w:val="000000"/>
          <w:kern w:val="0"/>
          <w:sz w:val="28"/>
          <w:szCs w:val="28"/>
        </w:rPr>
      </w:pPr>
    </w:p>
    <w:p>
      <w:pPr>
        <w:widowControl/>
        <w:jc w:val="right"/>
        <w:rPr>
          <w:rFonts w:ascii="黑体" w:eastAsia="黑体" w:cs="黑体"/>
          <w:color w:val="000000"/>
          <w:kern w:val="0"/>
          <w:sz w:val="28"/>
          <w:szCs w:val="28"/>
        </w:rPr>
      </w:pPr>
    </w:p>
    <w:p>
      <w:pPr>
        <w:widowControl/>
        <w:jc w:val="right"/>
        <w:rPr>
          <w:rFonts w:ascii="黑体" w:eastAsia="黑体" w:cs="黑体"/>
          <w:color w:val="000000"/>
          <w:kern w:val="0"/>
          <w:sz w:val="28"/>
          <w:szCs w:val="28"/>
        </w:rPr>
      </w:pPr>
    </w:p>
    <w:p>
      <w:pPr>
        <w:widowControl/>
        <w:jc w:val="right"/>
        <w:rPr>
          <w:rFonts w:ascii="黑体" w:eastAsia="黑体" w:cs="黑体"/>
          <w:color w:val="000000"/>
          <w:kern w:val="0"/>
          <w:sz w:val="28"/>
          <w:szCs w:val="28"/>
        </w:rPr>
      </w:pPr>
    </w:p>
    <w:p>
      <w:pPr>
        <w:widowControl/>
        <w:jc w:val="right"/>
        <w:rPr>
          <w:rFonts w:ascii="黑体" w:eastAsia="黑体" w:cs="黑体"/>
          <w:color w:val="000000"/>
          <w:kern w:val="0"/>
          <w:sz w:val="28"/>
          <w:szCs w:val="28"/>
        </w:rPr>
      </w:pPr>
    </w:p>
    <w:p>
      <w:pPr>
        <w:widowControl/>
        <w:spacing w:line="360" w:lineRule="auto"/>
        <w:jc w:val="left"/>
        <w:rPr>
          <w:rFonts w:ascii="黑体" w:eastAsia="黑体" w:cs="黑体"/>
          <w:color w:val="000000"/>
          <w:kern w:val="0"/>
          <w:sz w:val="28"/>
          <w:szCs w:val="28"/>
        </w:rPr>
      </w:pPr>
    </w:p>
    <w:p>
      <w:pPr>
        <w:widowControl/>
        <w:spacing w:line="360" w:lineRule="auto"/>
        <w:ind w:firstLine="480" w:firstLineChars="200"/>
        <w:jc w:val="left"/>
        <w:rPr>
          <w:rFonts w:ascii="仿宋_GB2312" w:eastAsia="仿宋_GB2312" w:cs="仿宋_GB2312"/>
          <w:color w:val="000000"/>
          <w:kern w:val="0"/>
          <w:sz w:val="24"/>
          <w:szCs w:val="24"/>
        </w:rPr>
      </w:pPr>
      <w:r>
        <w:rPr>
          <w:rFonts w:hint="eastAsia" w:ascii="仿宋_GB2312" w:hAnsi="仿宋_GB2312" w:cs="仿宋_GB2312"/>
          <w:b/>
          <w:color w:val="000000"/>
          <w:kern w:val="0"/>
          <w:sz w:val="24"/>
          <w:szCs w:val="24"/>
        </w:rPr>
        <w:t>一、财政拨款收入</w:t>
      </w:r>
      <w:r>
        <w:rPr>
          <w:rFonts w:hint="eastAsia" w:ascii="仿宋_GB2312" w:hAnsi="仿宋_GB2312" w:cs="仿宋_GB2312"/>
          <w:color w:val="000000"/>
          <w:kern w:val="0"/>
          <w:sz w:val="24"/>
          <w:szCs w:val="24"/>
        </w:rPr>
        <w:t>：指本级财政当年拨付的资金。</w:t>
      </w:r>
      <w:r>
        <w:rPr>
          <w:rFonts w:ascii="仿宋_GB2312" w:hAnsi="仿宋_GB2312" w:cs="仿宋_GB2312"/>
          <w:color w:val="000000"/>
          <w:kern w:val="0"/>
          <w:sz w:val="24"/>
          <w:szCs w:val="24"/>
        </w:rPr>
        <w:t xml:space="preserve"> </w:t>
      </w:r>
    </w:p>
    <w:p>
      <w:pPr>
        <w:widowControl/>
        <w:spacing w:line="360" w:lineRule="auto"/>
        <w:ind w:firstLine="480" w:firstLineChars="200"/>
        <w:jc w:val="left"/>
        <w:rPr>
          <w:rFonts w:ascii="仿宋_GB2312" w:eastAsia="仿宋_GB2312" w:cs="仿宋_GB2312"/>
          <w:color w:val="000000"/>
          <w:kern w:val="0"/>
          <w:sz w:val="24"/>
          <w:szCs w:val="24"/>
        </w:rPr>
      </w:pPr>
      <w:r>
        <w:rPr>
          <w:rFonts w:hint="eastAsia" w:ascii="仿宋_GB2312" w:hAnsi="仿宋_GB2312" w:cs="仿宋_GB2312"/>
          <w:b/>
          <w:color w:val="000000"/>
          <w:kern w:val="0"/>
          <w:sz w:val="24"/>
          <w:szCs w:val="24"/>
        </w:rPr>
        <w:t>二、其他收入</w:t>
      </w:r>
      <w:r>
        <w:rPr>
          <w:rFonts w:hint="eastAsia" w:ascii="仿宋_GB2312" w:hAnsi="仿宋_GB2312" w:cs="仿宋_GB2312"/>
          <w:color w:val="000000"/>
          <w:kern w:val="0"/>
          <w:sz w:val="24"/>
          <w:szCs w:val="24"/>
        </w:rPr>
        <w:t>：指除上述“财政拨款收入”、“事业收入”</w:t>
      </w:r>
      <w:r>
        <w:rPr>
          <w:rFonts w:ascii="仿宋_GB2312" w:hAnsi="仿宋_GB2312" w:cs="仿宋_GB2312"/>
          <w:color w:val="000000"/>
          <w:kern w:val="0"/>
          <w:sz w:val="24"/>
          <w:szCs w:val="24"/>
        </w:rPr>
        <w:t xml:space="preserve"> </w:t>
      </w:r>
      <w:r>
        <w:rPr>
          <w:rFonts w:hint="eastAsia" w:ascii="仿宋_GB2312" w:hAnsi="仿宋_GB2312" w:cs="仿宋_GB2312"/>
          <w:color w:val="000000"/>
          <w:kern w:val="0"/>
          <w:sz w:val="24"/>
          <w:szCs w:val="24"/>
        </w:rPr>
        <w:t>、“经营收入”等以外的收入。</w:t>
      </w:r>
    </w:p>
    <w:p>
      <w:pPr>
        <w:widowControl/>
        <w:spacing w:line="360" w:lineRule="auto"/>
        <w:ind w:firstLine="480" w:firstLineChars="200"/>
        <w:jc w:val="left"/>
        <w:rPr>
          <w:rFonts w:ascii="仿宋_GB2312" w:eastAsia="仿宋_GB2312" w:cs="仿宋_GB2312"/>
          <w:color w:val="000000"/>
          <w:kern w:val="0"/>
          <w:sz w:val="24"/>
          <w:szCs w:val="24"/>
        </w:rPr>
      </w:pPr>
      <w:r>
        <w:rPr>
          <w:rFonts w:hint="eastAsia" w:ascii="仿宋_GB2312" w:hAnsi="仿宋_GB2312" w:cs="仿宋_GB2312"/>
          <w:b/>
          <w:color w:val="000000"/>
          <w:kern w:val="0"/>
          <w:sz w:val="24"/>
          <w:szCs w:val="24"/>
        </w:rPr>
        <w:t>三、年初结转和结余</w:t>
      </w:r>
      <w:r>
        <w:rPr>
          <w:rFonts w:hint="eastAsia" w:ascii="仿宋_GB2312" w:hAnsi="仿宋_GB2312" w:cs="仿宋_GB2312"/>
          <w:color w:val="000000"/>
          <w:kern w:val="0"/>
          <w:sz w:val="24"/>
          <w:szCs w:val="24"/>
        </w:rPr>
        <w:t>：指以前年度尚未完成、结转到本年按有关规定继续使用的资金。</w:t>
      </w:r>
      <w:r>
        <w:rPr>
          <w:rFonts w:ascii="仿宋_GB2312" w:hAnsi="仿宋_GB2312" w:cs="仿宋_GB2312"/>
          <w:color w:val="000000"/>
          <w:kern w:val="0"/>
          <w:sz w:val="24"/>
          <w:szCs w:val="24"/>
        </w:rPr>
        <w:t xml:space="preserve"> </w:t>
      </w:r>
    </w:p>
    <w:p>
      <w:pPr>
        <w:widowControl/>
        <w:spacing w:line="360" w:lineRule="auto"/>
        <w:ind w:firstLine="480" w:firstLineChars="200"/>
        <w:jc w:val="left"/>
        <w:rPr>
          <w:rFonts w:ascii="仿宋_GB2312" w:eastAsia="仿宋_GB2312" w:cs="仿宋_GB2312"/>
          <w:color w:val="000000"/>
          <w:kern w:val="0"/>
          <w:sz w:val="24"/>
          <w:szCs w:val="24"/>
        </w:rPr>
      </w:pPr>
      <w:r>
        <w:rPr>
          <w:rFonts w:hint="eastAsia" w:ascii="仿宋_GB2312" w:hAnsi="仿宋_GB2312" w:cs="仿宋_GB2312"/>
          <w:b/>
          <w:color w:val="000000"/>
          <w:kern w:val="0"/>
          <w:sz w:val="24"/>
          <w:szCs w:val="24"/>
        </w:rPr>
        <w:t>四、年末结转和结余</w:t>
      </w:r>
      <w:r>
        <w:rPr>
          <w:rFonts w:hint="eastAsia" w:ascii="仿宋_GB2312" w:hAnsi="仿宋_GB2312" w:cs="仿宋_GB2312"/>
          <w:color w:val="000000"/>
          <w:kern w:val="0"/>
          <w:sz w:val="24"/>
          <w:szCs w:val="24"/>
        </w:rPr>
        <w:t>：指本年度或以前年度预算安排、因客观条件发生变化无法按原计划实施，需要延迟到以后年度按有关规定继续使用的资金。</w:t>
      </w:r>
      <w:r>
        <w:rPr>
          <w:rFonts w:ascii="仿宋_GB2312" w:hAnsi="仿宋_GB2312" w:cs="仿宋_GB2312"/>
          <w:color w:val="000000"/>
          <w:kern w:val="0"/>
          <w:sz w:val="24"/>
          <w:szCs w:val="24"/>
        </w:rPr>
        <w:t xml:space="preserve"> </w:t>
      </w:r>
    </w:p>
    <w:p>
      <w:pPr>
        <w:widowControl/>
        <w:spacing w:line="360" w:lineRule="auto"/>
        <w:ind w:firstLine="480" w:firstLineChars="200"/>
        <w:jc w:val="left"/>
        <w:rPr>
          <w:rFonts w:ascii="仿宋_GB2312" w:eastAsia="仿宋_GB2312" w:cs="仿宋_GB2312"/>
          <w:color w:val="000000"/>
          <w:kern w:val="0"/>
          <w:sz w:val="24"/>
          <w:szCs w:val="24"/>
        </w:rPr>
      </w:pPr>
      <w:r>
        <w:rPr>
          <w:rFonts w:hint="eastAsia" w:ascii="仿宋_GB2312" w:hAnsi="仿宋_GB2312" w:cs="仿宋_GB2312"/>
          <w:b/>
          <w:color w:val="000000"/>
          <w:kern w:val="0"/>
          <w:sz w:val="24"/>
          <w:szCs w:val="24"/>
        </w:rPr>
        <w:t>五、基本支出</w:t>
      </w:r>
      <w:r>
        <w:rPr>
          <w:rFonts w:hint="eastAsia" w:ascii="仿宋_GB2312" w:hAnsi="仿宋_GB2312" w:cs="仿宋_GB2312"/>
          <w:color w:val="000000"/>
          <w:kern w:val="0"/>
          <w:sz w:val="24"/>
          <w:szCs w:val="24"/>
        </w:rPr>
        <w:t>：指为保障机构正常运转、完成日常工作任务而发生的人员支出和公用支出。</w:t>
      </w:r>
      <w:r>
        <w:rPr>
          <w:rFonts w:ascii="仿宋_GB2312" w:hAnsi="仿宋_GB2312" w:cs="仿宋_GB2312"/>
          <w:color w:val="000000"/>
          <w:kern w:val="0"/>
          <w:sz w:val="24"/>
          <w:szCs w:val="24"/>
        </w:rPr>
        <w:t xml:space="preserve"> </w:t>
      </w:r>
    </w:p>
    <w:p>
      <w:pPr>
        <w:widowControl/>
        <w:spacing w:line="360" w:lineRule="auto"/>
        <w:ind w:firstLine="480" w:firstLineChars="200"/>
        <w:jc w:val="left"/>
        <w:rPr>
          <w:rFonts w:ascii="仿宋_GB2312" w:eastAsia="仿宋_GB2312" w:cs="仿宋_GB2312"/>
          <w:color w:val="000000"/>
          <w:kern w:val="0"/>
          <w:sz w:val="24"/>
          <w:szCs w:val="24"/>
        </w:rPr>
      </w:pPr>
      <w:r>
        <w:rPr>
          <w:rFonts w:hint="eastAsia" w:ascii="仿宋_GB2312" w:hAnsi="仿宋_GB2312" w:cs="仿宋_GB2312"/>
          <w:b/>
          <w:color w:val="000000"/>
          <w:kern w:val="0"/>
          <w:sz w:val="24"/>
          <w:szCs w:val="24"/>
        </w:rPr>
        <w:t>六、项目支出</w:t>
      </w:r>
      <w:r>
        <w:rPr>
          <w:rFonts w:hint="eastAsia" w:ascii="仿宋_GB2312" w:hAnsi="仿宋_GB2312" w:cs="仿宋_GB2312"/>
          <w:color w:val="000000"/>
          <w:kern w:val="0"/>
          <w:sz w:val="24"/>
          <w:szCs w:val="24"/>
        </w:rPr>
        <w:t>：指在基本支出之外为完成特定行政任务和事业发展目标所发生的支出。</w:t>
      </w:r>
      <w:r>
        <w:rPr>
          <w:rFonts w:ascii="仿宋_GB2312" w:hAnsi="仿宋_GB2312" w:cs="仿宋_GB2312"/>
          <w:color w:val="000000"/>
          <w:kern w:val="0"/>
          <w:sz w:val="24"/>
          <w:szCs w:val="24"/>
        </w:rPr>
        <w:t xml:space="preserve"> </w:t>
      </w:r>
    </w:p>
    <w:p>
      <w:pPr>
        <w:widowControl/>
        <w:spacing w:line="360" w:lineRule="auto"/>
        <w:ind w:firstLine="480" w:firstLineChars="200"/>
        <w:jc w:val="left"/>
        <w:rPr>
          <w:rFonts w:ascii="仿宋_GB2312" w:eastAsia="仿宋_GB2312" w:cs="仿宋_GB2312"/>
          <w:color w:val="000000"/>
          <w:kern w:val="0"/>
          <w:sz w:val="24"/>
          <w:szCs w:val="24"/>
        </w:rPr>
      </w:pPr>
      <w:r>
        <w:rPr>
          <w:rFonts w:hint="eastAsia" w:ascii="仿宋_GB2312" w:hAnsi="仿宋_GB2312" w:cs="仿宋_GB2312"/>
          <w:b/>
          <w:color w:val="000000"/>
          <w:kern w:val="0"/>
          <w:sz w:val="24"/>
          <w:szCs w:val="24"/>
        </w:rPr>
        <w:t>七、“三公”经费</w:t>
      </w:r>
      <w:r>
        <w:rPr>
          <w:rFonts w:hint="eastAsia" w:ascii="仿宋_GB2312" w:hAnsi="仿宋_GB2312" w:cs="仿宋_GB2312"/>
          <w:color w:val="000000"/>
          <w:kern w:val="0"/>
          <w:sz w:val="24"/>
          <w:szCs w:val="24"/>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_GB2312" w:hAnsi="仿宋_GB2312" w:cs="仿宋_GB2312"/>
          <w:color w:val="000000"/>
          <w:kern w:val="0"/>
          <w:sz w:val="24"/>
          <w:szCs w:val="24"/>
        </w:rPr>
        <w:t xml:space="preserve"> </w:t>
      </w:r>
    </w:p>
    <w:p>
      <w:pPr>
        <w:widowControl/>
        <w:spacing w:line="360" w:lineRule="auto"/>
        <w:ind w:firstLine="480" w:firstLineChars="200"/>
        <w:jc w:val="left"/>
        <w:rPr>
          <w:rFonts w:ascii="仿宋_GB2312" w:eastAsia="仿宋_GB2312" w:cs="仿宋_GB2312"/>
          <w:color w:val="000000"/>
          <w:kern w:val="0"/>
          <w:sz w:val="24"/>
          <w:szCs w:val="24"/>
        </w:rPr>
      </w:pPr>
      <w:r>
        <w:rPr>
          <w:rFonts w:hint="eastAsia" w:ascii="仿宋_GB2312" w:hAnsi="仿宋_GB2312" w:cs="仿宋_GB2312"/>
          <w:b/>
          <w:color w:val="000000"/>
          <w:kern w:val="0"/>
          <w:sz w:val="24"/>
          <w:szCs w:val="24"/>
        </w:rPr>
        <w:t>八、机关运行经费：</w:t>
      </w:r>
      <w:r>
        <w:rPr>
          <w:rFonts w:hint="eastAsia" w:ascii="仿宋_GB2312" w:hAnsi="仿宋_GB2312" w:cs="仿宋_GB2312"/>
          <w:color w:val="000000"/>
          <w:kern w:val="0"/>
          <w:sz w:val="24"/>
          <w:szCs w:val="24"/>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
        <w:jc w:val="right"/>
        <w:rPr>
          <w:sz w:val="28"/>
          <w:szCs w:val="28"/>
        </w:rPr>
      </w:pPr>
    </w:p>
    <w:p>
      <w:pPr>
        <w:pStyle w:val="9"/>
        <w:jc w:val="right"/>
        <w:rPr>
          <w:sz w:val="28"/>
          <w:szCs w:val="28"/>
        </w:rPr>
      </w:pPr>
    </w:p>
    <w:p>
      <w:pPr>
        <w:pStyle w:val="9"/>
        <w:jc w:val="right"/>
        <w:rPr>
          <w:sz w:val="28"/>
          <w:szCs w:val="28"/>
        </w:rPr>
      </w:pPr>
    </w:p>
    <w:p>
      <w:pPr>
        <w:pStyle w:val="9"/>
        <w:jc w:val="right"/>
        <w:rPr>
          <w:sz w:val="28"/>
          <w:szCs w:val="28"/>
        </w:rPr>
      </w:pPr>
    </w:p>
    <w:p>
      <w:pPr>
        <w:pStyle w:val="9"/>
        <w:jc w:val="right"/>
        <w:rPr>
          <w:sz w:val="28"/>
          <w:szCs w:val="28"/>
        </w:rPr>
      </w:pPr>
    </w:p>
    <w:p>
      <w:pPr>
        <w:pStyle w:val="9"/>
        <w:jc w:val="right"/>
        <w:rPr>
          <w:sz w:val="28"/>
          <w:szCs w:val="28"/>
        </w:rPr>
      </w:pPr>
    </w:p>
    <w:p>
      <w:pPr>
        <w:pStyle w:val="9"/>
        <w:jc w:val="right"/>
        <w:rPr>
          <w:sz w:val="28"/>
          <w:szCs w:val="28"/>
        </w:rPr>
      </w:pPr>
    </w:p>
    <w:p>
      <w:pPr>
        <w:pStyle w:val="9"/>
        <w:jc w:val="right"/>
        <w:rPr>
          <w:sz w:val="28"/>
          <w:szCs w:val="28"/>
        </w:rPr>
      </w:pPr>
    </w:p>
    <w:p>
      <w:pPr>
        <w:pStyle w:val="9"/>
        <w:jc w:val="right"/>
        <w:rPr>
          <w:sz w:val="28"/>
          <w:szCs w:val="28"/>
        </w:rPr>
      </w:pPr>
    </w:p>
    <w:p>
      <w:pPr>
        <w:pStyle w:val="9"/>
        <w:jc w:val="right"/>
        <w:rPr>
          <w:sz w:val="28"/>
          <w:szCs w:val="28"/>
        </w:rPr>
      </w:pPr>
    </w:p>
    <w:p>
      <w:pPr>
        <w:pStyle w:val="9"/>
        <w:jc w:val="right"/>
        <w:rPr>
          <w:b/>
          <w:sz w:val="28"/>
          <w:szCs w:val="28"/>
        </w:rPr>
      </w:pPr>
    </w:p>
    <w:p>
      <w:pPr>
        <w:jc w:val="right"/>
        <w:rPr>
          <w:b/>
          <w:sz w:val="48"/>
          <w:szCs w:val="48"/>
        </w:rPr>
      </w:pPr>
    </w:p>
    <w:p>
      <w:pPr>
        <w:jc w:val="right"/>
        <w:rPr>
          <w:b/>
          <w:sz w:val="48"/>
          <w:szCs w:val="48"/>
        </w:rPr>
      </w:pPr>
    </w:p>
    <w:p>
      <w:pPr>
        <w:jc w:val="right"/>
        <w:rPr>
          <w:b/>
          <w:sz w:val="48"/>
          <w:szCs w:val="48"/>
        </w:rPr>
      </w:pPr>
    </w:p>
    <w:p>
      <w:pPr>
        <w:jc w:val="right"/>
        <w:rPr>
          <w:b/>
          <w:sz w:val="48"/>
          <w:szCs w:val="48"/>
        </w:rPr>
      </w:pPr>
    </w:p>
    <w:p>
      <w:pPr>
        <w:jc w:val="right"/>
        <w:rPr>
          <w:b/>
          <w:sz w:val="48"/>
          <w:szCs w:val="48"/>
        </w:rPr>
      </w:pPr>
    </w:p>
    <w:p>
      <w:pPr>
        <w:jc w:val="right"/>
        <w:rPr>
          <w:b/>
          <w:sz w:val="48"/>
          <w:szCs w:val="48"/>
        </w:rPr>
      </w:pPr>
    </w:p>
    <w:p>
      <w:pPr>
        <w:jc w:val="right"/>
        <w:rPr>
          <w:b/>
          <w:sz w:val="48"/>
          <w:szCs w:val="48"/>
        </w:rPr>
      </w:pPr>
    </w:p>
    <w:p>
      <w:pPr>
        <w:jc w:val="right"/>
        <w:rPr>
          <w:b/>
          <w:sz w:val="48"/>
          <w:szCs w:val="48"/>
        </w:rPr>
      </w:pPr>
    </w:p>
    <w:p>
      <w:pPr>
        <w:jc w:val="right"/>
        <w:rPr>
          <w:b/>
          <w:sz w:val="48"/>
          <w:szCs w:val="48"/>
        </w:rPr>
      </w:pPr>
    </w:p>
    <w:p>
      <w:pPr>
        <w:jc w:val="right"/>
        <w:rPr>
          <w:b/>
          <w:sz w:val="48"/>
          <w:szCs w:val="48"/>
        </w:rPr>
      </w:pPr>
    </w:p>
    <w:p>
      <w:pPr>
        <w:jc w:val="center"/>
        <w:rPr>
          <w:b/>
          <w:sz w:val="44"/>
          <w:szCs w:val="44"/>
        </w:rPr>
      </w:pPr>
      <w:r>
        <w:rPr>
          <w:rFonts w:hint="eastAsia"/>
          <w:b/>
          <w:sz w:val="44"/>
          <w:szCs w:val="44"/>
        </w:rPr>
        <w:t>第五部分</w:t>
      </w:r>
    </w:p>
    <w:p>
      <w:pPr>
        <w:spacing w:line="160" w:lineRule="exact"/>
        <w:jc w:val="center"/>
        <w:rPr>
          <w:b/>
          <w:sz w:val="44"/>
          <w:szCs w:val="44"/>
        </w:rPr>
      </w:pPr>
    </w:p>
    <w:p>
      <w:pPr>
        <w:jc w:val="center"/>
        <w:rPr>
          <w:b/>
          <w:sz w:val="44"/>
          <w:szCs w:val="44"/>
        </w:rPr>
      </w:pPr>
      <w:r>
        <w:rPr>
          <w:rFonts w:hint="eastAsia"/>
          <w:b/>
          <w:sz w:val="44"/>
          <w:szCs w:val="44"/>
        </w:rPr>
        <w:t>附件</w:t>
      </w:r>
    </w:p>
    <w:p>
      <w:pPr>
        <w:jc w:val="right"/>
        <w:rPr>
          <w:sz w:val="48"/>
          <w:szCs w:val="48"/>
        </w:rPr>
      </w:pPr>
    </w:p>
    <w:p>
      <w:pPr>
        <w:jc w:val="right"/>
        <w:rPr>
          <w:sz w:val="28"/>
          <w:szCs w:val="28"/>
        </w:rPr>
      </w:pPr>
    </w:p>
    <w:p>
      <w:pPr>
        <w:jc w:val="right"/>
        <w:rPr>
          <w:sz w:val="28"/>
          <w:szCs w:val="28"/>
        </w:rPr>
      </w:pPr>
    </w:p>
    <w:p>
      <w:pPr>
        <w:jc w:val="right"/>
        <w:rPr>
          <w:sz w:val="28"/>
          <w:szCs w:val="28"/>
        </w:rPr>
      </w:pPr>
    </w:p>
    <w:p>
      <w:pPr>
        <w:jc w:val="right"/>
        <w:rPr>
          <w:sz w:val="28"/>
          <w:szCs w:val="28"/>
        </w:rPr>
      </w:pPr>
    </w:p>
    <w:p>
      <w:pPr>
        <w:jc w:val="right"/>
        <w:rPr>
          <w:sz w:val="28"/>
          <w:szCs w:val="28"/>
        </w:rPr>
      </w:pPr>
    </w:p>
    <w:p>
      <w:pPr>
        <w:jc w:val="right"/>
        <w:rPr>
          <w:sz w:val="28"/>
          <w:szCs w:val="28"/>
        </w:rPr>
      </w:pPr>
    </w:p>
    <w:p>
      <w:pPr>
        <w:jc w:val="right"/>
        <w:rPr>
          <w:sz w:val="28"/>
          <w:szCs w:val="28"/>
        </w:rPr>
      </w:pPr>
    </w:p>
    <w:p>
      <w:pPr>
        <w:jc w:val="right"/>
        <w:rPr>
          <w:sz w:val="28"/>
          <w:szCs w:val="28"/>
        </w:rPr>
      </w:pPr>
    </w:p>
    <w:p>
      <w:pPr>
        <w:jc w:val="right"/>
        <w:rPr>
          <w:sz w:val="28"/>
          <w:szCs w:val="28"/>
        </w:rPr>
      </w:pPr>
    </w:p>
    <w:p>
      <w:pPr>
        <w:jc w:val="right"/>
        <w:rPr>
          <w:sz w:val="28"/>
          <w:szCs w:val="28"/>
        </w:rPr>
      </w:pPr>
    </w:p>
    <w:p>
      <w:pPr>
        <w:wordWrap w:val="0"/>
        <w:ind w:right="560"/>
        <w:rPr>
          <w:sz w:val="28"/>
          <w:szCs w:val="28"/>
        </w:rPr>
      </w:pPr>
    </w:p>
    <w:p>
      <w:pPr>
        <w:wordWrap w:val="0"/>
        <w:spacing w:line="160" w:lineRule="exact"/>
        <w:ind w:right="561"/>
        <w:rPr>
          <w:sz w:val="28"/>
          <w:szCs w:val="28"/>
        </w:rPr>
      </w:pPr>
    </w:p>
    <w:p>
      <w:pPr>
        <w:wordWrap w:val="0"/>
        <w:spacing w:line="160" w:lineRule="exact"/>
        <w:ind w:right="561"/>
        <w:rPr>
          <w:sz w:val="28"/>
          <w:szCs w:val="28"/>
        </w:rPr>
      </w:pPr>
    </w:p>
    <w:p>
      <w:pPr>
        <w:wordWrap w:val="0"/>
        <w:spacing w:line="160" w:lineRule="exact"/>
        <w:ind w:right="561"/>
        <w:rPr>
          <w:sz w:val="28"/>
          <w:szCs w:val="28"/>
        </w:rPr>
      </w:pPr>
    </w:p>
    <w:p>
      <w:pPr>
        <w:ind w:right="-24"/>
        <w:jc w:val="center"/>
        <w:rPr>
          <w:b/>
          <w:sz w:val="36"/>
          <w:szCs w:val="36"/>
        </w:rPr>
      </w:pPr>
      <w:r>
        <w:rPr>
          <w:rFonts w:hint="eastAsia"/>
          <w:b/>
          <w:sz w:val="36"/>
          <w:szCs w:val="36"/>
        </w:rPr>
        <w:t>2020年度沅江市国土资源局整体支出绩效评价报告</w:t>
      </w:r>
    </w:p>
    <w:p>
      <w:pPr>
        <w:ind w:right="560"/>
        <w:jc w:val="center"/>
        <w:rPr>
          <w:sz w:val="28"/>
          <w:szCs w:val="28"/>
        </w:rPr>
      </w:pPr>
      <w:r>
        <w:rPr>
          <w:rFonts w:hint="eastAsia"/>
          <w:sz w:val="28"/>
          <w:szCs w:val="28"/>
        </w:rPr>
        <w:t>（系统）</w:t>
      </w:r>
    </w:p>
    <w:p>
      <w:pPr>
        <w:spacing w:line="360" w:lineRule="auto"/>
        <w:ind w:left="105" w:leftChars="50" w:right="105" w:rightChars="50"/>
        <w:rPr>
          <w:rFonts w:ascii="仿宋_GB2312" w:hAnsi="仿宋_GB2312" w:cs="仿宋_GB2312"/>
          <w:b/>
          <w:color w:val="000000"/>
          <w:kern w:val="0"/>
          <w:sz w:val="28"/>
          <w:szCs w:val="28"/>
        </w:rPr>
      </w:pPr>
      <w:r>
        <w:rPr>
          <w:rFonts w:hint="eastAsia" w:ascii="仿宋_GB2312" w:hAnsi="仿宋_GB2312" w:cs="仿宋_GB2312"/>
          <w:b/>
          <w:color w:val="000000"/>
          <w:kern w:val="0"/>
          <w:sz w:val="28"/>
          <w:szCs w:val="28"/>
        </w:rPr>
        <w:t>一、部门基本情况</w:t>
      </w:r>
    </w:p>
    <w:p>
      <w:pPr>
        <w:spacing w:line="360" w:lineRule="auto"/>
        <w:ind w:left="109" w:leftChars="52" w:right="105" w:rightChars="50" w:firstLine="360" w:firstLineChars="15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一）机构设置和人员情况：根据编委核定，沅江市自然资源局内设机构股室包括：办公室、人事股、财务股、法规股、自然资源调查确权监测股、国土空间股、国土空间用途管制股等股室；下设沅江市不动产登记中心，沅江市征地拆迁所，沅江市地籍测量、沅江市地产交易中心等二级机构。我系统纳入部门预算编制298人。其中：实有在职人员243人，离退休人员55人，遗属7人。</w:t>
      </w:r>
    </w:p>
    <w:p>
      <w:pPr>
        <w:spacing w:line="360" w:lineRule="auto"/>
        <w:ind w:left="105" w:leftChars="50" w:right="105" w:rightChars="50" w:firstLine="360" w:firstLineChars="15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（二）部门主要职责</w:t>
      </w:r>
    </w:p>
    <w:p>
      <w:pPr>
        <w:spacing w:line="360" w:lineRule="auto"/>
        <w:ind w:left="105" w:leftChars="50" w:right="105" w:rightChars="50" w:firstLine="472" w:firstLineChars="197"/>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1、承担保护和合理利用土地资源、矿产资源等自然资源，管理测绘地理信息责任。</w:t>
      </w:r>
    </w:p>
    <w:p>
      <w:pPr>
        <w:spacing w:line="360" w:lineRule="auto"/>
        <w:ind w:left="105" w:leftChars="50" w:right="105" w:rightChars="50" w:firstLine="480" w:firstLineChars="20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2、承担规范自然资源管理秩序的责任。</w:t>
      </w:r>
    </w:p>
    <w:p>
      <w:pPr>
        <w:tabs>
          <w:tab w:val="left" w:pos="142"/>
        </w:tabs>
        <w:spacing w:line="360" w:lineRule="auto"/>
        <w:ind w:left="105" w:leftChars="50" w:right="105" w:rightChars="50" w:firstLine="480" w:firstLineChars="20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3、承担耕地保护的责任，确保规划确定的耕地保有量和基本农田保护面积不减少。</w:t>
      </w:r>
    </w:p>
    <w:p>
      <w:pPr>
        <w:spacing w:line="360" w:lineRule="auto"/>
        <w:ind w:left="105" w:leftChars="50" w:right="105" w:rightChars="50" w:firstLine="480" w:firstLineChars="20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4、承担及时准确提供沅江市土地利用各种数据的责任。</w:t>
      </w:r>
    </w:p>
    <w:p>
      <w:pPr>
        <w:spacing w:line="360" w:lineRule="auto"/>
        <w:ind w:left="105" w:leftChars="50" w:right="105" w:rightChars="50" w:firstLine="480" w:firstLineChars="20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5、指导监督节约集约合理利用自然资源。</w:t>
      </w:r>
    </w:p>
    <w:p>
      <w:pPr>
        <w:spacing w:line="360" w:lineRule="auto"/>
        <w:ind w:left="105" w:leftChars="50" w:right="105" w:rightChars="50" w:firstLine="480" w:firstLineChars="20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6、建立公平公正、竞争有序、城乡统一的自然资源市场。</w:t>
      </w:r>
    </w:p>
    <w:p>
      <w:pPr>
        <w:spacing w:line="360" w:lineRule="auto"/>
        <w:ind w:left="105" w:leftChars="50" w:right="105" w:rightChars="50" w:firstLine="480" w:firstLineChars="20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7、负责矿产资源勘查开发管理。</w:t>
      </w:r>
    </w:p>
    <w:p>
      <w:pPr>
        <w:spacing w:line="360" w:lineRule="auto"/>
        <w:ind w:left="105" w:leftChars="50" w:right="105" w:rightChars="50" w:firstLine="480" w:firstLineChars="20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8、承担地质环境保护的责任。</w:t>
      </w:r>
    </w:p>
    <w:p>
      <w:pPr>
        <w:spacing w:line="360" w:lineRule="auto"/>
        <w:ind w:left="105" w:leftChars="50" w:right="105" w:rightChars="50"/>
        <w:rPr>
          <w:rFonts w:ascii="仿宋_GB2312" w:hAnsi="仿宋_GB2312" w:cs="仿宋_GB2312"/>
          <w:b/>
          <w:color w:val="000000"/>
          <w:kern w:val="0"/>
          <w:sz w:val="28"/>
          <w:szCs w:val="28"/>
        </w:rPr>
      </w:pPr>
      <w:r>
        <w:rPr>
          <w:rFonts w:hint="eastAsia" w:ascii="仿宋_GB2312" w:hAnsi="仿宋_GB2312" w:cs="仿宋_GB2312"/>
          <w:b/>
          <w:color w:val="000000"/>
          <w:kern w:val="0"/>
          <w:sz w:val="28"/>
          <w:szCs w:val="28"/>
        </w:rPr>
        <w:t>二、部门整体支出规模、使用方向和主要内容、涉及范围</w:t>
      </w:r>
    </w:p>
    <w:p>
      <w:pPr>
        <w:spacing w:line="360" w:lineRule="auto"/>
        <w:ind w:left="105" w:leftChars="50" w:right="105" w:rightChars="50" w:firstLine="360" w:firstLineChars="15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（一）预算收支安排情况</w:t>
      </w:r>
    </w:p>
    <w:p>
      <w:pPr>
        <w:spacing w:line="360" w:lineRule="auto"/>
        <w:ind w:left="105" w:leftChars="50" w:right="-23" w:rightChars="-11" w:firstLine="460" w:firstLineChars="192"/>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2020年年初市财政预算安排自然资源局机关公共财政拨款收入3103.00万元，财政预算支出3103.00万元，上年预算财政拨款收支均为2927.00万元，比上年增加176.00万元。其主要原因是项目增加。</w:t>
      </w:r>
    </w:p>
    <w:p>
      <w:pPr>
        <w:spacing w:line="360" w:lineRule="auto"/>
        <w:ind w:left="105" w:leftChars="50" w:right="105" w:rightChars="50" w:firstLine="360" w:firstLineChars="15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（二）收入支出决算总体情况</w:t>
      </w:r>
    </w:p>
    <w:p>
      <w:pPr>
        <w:tabs>
          <w:tab w:val="left" w:pos="10065"/>
        </w:tabs>
        <w:spacing w:line="360" w:lineRule="auto"/>
        <w:ind w:left="105" w:leftChars="50" w:right="-23" w:rightChars="-11" w:firstLine="480" w:firstLineChars="20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2020年度收入合计4160.36万元，其中一般公共预算收入2679.05万元，占总收入的64.39%，政府性基金预算收入1022.67万元，占总收入的24.59%，事业收入87.90万元，占总收入2.11%，其他收入370.73万元，占总收入的8.91%。</w:t>
      </w:r>
    </w:p>
    <w:p>
      <w:pPr>
        <w:spacing w:line="360" w:lineRule="auto"/>
        <w:ind w:left="105" w:leftChars="50" w:right="-23" w:rightChars="-11" w:firstLine="480" w:firstLineChars="20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2020年度支出合计4539.58万元，其中基本支出2673.19万元，占58.88%，主要用于：基本工资、津贴补贴、奖金、伙食补助费、机关事业单位基本养老保险缴费、其他社会保障缴费、职业年金、抚恤金、生活补助、医疗费、住房公积金、办公费、印刷费、咨询费、手续费、水费、电费、邮电费、物业管理费、差旅费、维修（护）费、租赁费、会议费、培训费、公务接待费、劳务费、委托业务费、工会经费、办公设备及专用设备购置费；项目支出1866.39万元（内含专项工作经费支出），占41.12%，用于2020年度乡镇国土执法检查、土地执法巡查、卫片检查、重点生态保护治理、第三次土地调查等项目开支。</w:t>
      </w:r>
    </w:p>
    <w:p>
      <w:pPr>
        <w:spacing w:line="360" w:lineRule="auto"/>
        <w:ind w:right="105" w:rightChars="50" w:firstLine="480" w:firstLineChars="20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（三）“三公”经费支出情况</w:t>
      </w:r>
    </w:p>
    <w:p>
      <w:pPr>
        <w:spacing w:line="360" w:lineRule="auto"/>
        <w:ind w:left="105" w:leftChars="50" w:right="105" w:rightChars="50" w:firstLine="480" w:firstLineChars="20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2020年度“三公”经费实际支出7.46万元，全部为公务接待支出。</w:t>
      </w:r>
    </w:p>
    <w:p>
      <w:pPr>
        <w:spacing w:line="360" w:lineRule="auto"/>
        <w:ind w:left="105" w:leftChars="50" w:right="105" w:rightChars="50"/>
        <w:rPr>
          <w:rFonts w:ascii="仿宋_GB2312" w:hAnsi="仿宋_GB2312" w:cs="仿宋_GB2312"/>
          <w:b/>
          <w:color w:val="000000"/>
          <w:kern w:val="0"/>
          <w:sz w:val="28"/>
          <w:szCs w:val="28"/>
        </w:rPr>
      </w:pPr>
      <w:r>
        <w:rPr>
          <w:rFonts w:hint="eastAsia" w:ascii="仿宋_GB2312" w:hAnsi="仿宋_GB2312" w:cs="仿宋_GB2312"/>
          <w:b/>
          <w:color w:val="000000"/>
          <w:kern w:val="0"/>
          <w:sz w:val="28"/>
          <w:szCs w:val="28"/>
        </w:rPr>
        <w:t>三、部门整体支出管理情况</w:t>
      </w:r>
    </w:p>
    <w:p>
      <w:pPr>
        <w:spacing w:line="360" w:lineRule="auto"/>
        <w:ind w:left="105" w:leftChars="50" w:right="105" w:rightChars="50" w:firstLine="480" w:firstLineChars="200"/>
        <w:rPr>
          <w:rFonts w:ascii="仿宋_GB2312" w:hAnsi="仿宋_GB2312" w:cs="仿宋_GB2312"/>
          <w:color w:val="000000"/>
          <w:kern w:val="0"/>
          <w:sz w:val="28"/>
          <w:szCs w:val="28"/>
        </w:rPr>
      </w:pPr>
      <w:r>
        <w:rPr>
          <w:rFonts w:hint="eastAsia" w:ascii="仿宋_GB2312" w:hAnsi="仿宋_GB2312" w:cs="仿宋_GB2312"/>
          <w:color w:val="000000"/>
          <w:kern w:val="0"/>
          <w:sz w:val="24"/>
          <w:szCs w:val="24"/>
        </w:rPr>
        <w:t>总的来说，我局财务管理较为严格，建立了《财务管理制度》，并严格按照市财政局制定的公务接待费、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w:t>
      </w:r>
    </w:p>
    <w:p>
      <w:pPr>
        <w:spacing w:line="360" w:lineRule="auto"/>
        <w:ind w:left="105" w:leftChars="50" w:right="105" w:rightChars="50"/>
        <w:rPr>
          <w:rFonts w:ascii="仿宋_GB2312" w:hAnsi="仿宋_GB2312" w:cs="仿宋_GB2312"/>
          <w:b/>
          <w:color w:val="000000"/>
          <w:kern w:val="0"/>
          <w:sz w:val="28"/>
          <w:szCs w:val="28"/>
        </w:rPr>
      </w:pPr>
      <w:r>
        <w:rPr>
          <w:rFonts w:hint="eastAsia" w:ascii="仿宋_GB2312" w:hAnsi="仿宋_GB2312" w:cs="仿宋_GB2312"/>
          <w:b/>
          <w:color w:val="000000"/>
          <w:kern w:val="0"/>
          <w:sz w:val="28"/>
          <w:szCs w:val="28"/>
        </w:rPr>
        <w:t>四、部门整体支出绩效情况</w:t>
      </w:r>
    </w:p>
    <w:p>
      <w:pPr>
        <w:spacing w:line="360" w:lineRule="auto"/>
        <w:ind w:left="105" w:leftChars="50" w:right="-23" w:rightChars="-11" w:firstLine="480" w:firstLineChars="20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根据市财政局要求，我局以绩效评估为契机，认真对照评估指标，按照年度工作计划扎实推进2020年度财政支出绩效自评工作。同时，坚持党建引领，不断健全机关党建责任体系，认真履行“一岗双责”，狠抓基层党组织建设，深入开展党建学习教育，使党员政治觉悟再提升，基层党组织战斗力再增强。坚持廉政为先，全面落实廉政责任，始终坚持用制度管权、管事、管人。总的来说，2020年度我局全体干部职工积极履职、扎实工作，较好完成了全年工作目标，并收到良好的经济效益和社会效益。</w:t>
      </w:r>
    </w:p>
    <w:p>
      <w:pPr>
        <w:spacing w:line="360" w:lineRule="auto"/>
        <w:ind w:left="105" w:leftChars="50" w:right="105" w:rightChars="50"/>
        <w:rPr>
          <w:rFonts w:ascii="仿宋_GB2312" w:hAnsi="仿宋_GB2312" w:cs="仿宋_GB2312"/>
          <w:b/>
          <w:color w:val="000000"/>
          <w:kern w:val="0"/>
          <w:sz w:val="28"/>
          <w:szCs w:val="28"/>
        </w:rPr>
      </w:pPr>
      <w:r>
        <w:rPr>
          <w:rFonts w:hint="eastAsia" w:ascii="仿宋_GB2312" w:hAnsi="仿宋_GB2312" w:cs="仿宋_GB2312"/>
          <w:b/>
          <w:color w:val="000000"/>
          <w:kern w:val="0"/>
          <w:sz w:val="28"/>
          <w:szCs w:val="28"/>
        </w:rPr>
        <w:t>五、部门整体支出绩效评价指标分析及存在的问题</w:t>
      </w:r>
    </w:p>
    <w:p>
      <w:pPr>
        <w:spacing w:line="360" w:lineRule="auto"/>
        <w:ind w:left="105" w:leftChars="50" w:right="105" w:rightChars="50" w:firstLine="480" w:firstLineChars="20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通过认真对照2020年沅江市部门整体支出绩效评价指标开展自评，我局在“投入”、“过程”、“产出”、“效果”等方面都执行较好。存在的主要问题：资产管理有待进一步加强，专业技术水平有待进一步提高。</w:t>
      </w:r>
    </w:p>
    <w:p>
      <w:pPr>
        <w:spacing w:line="360" w:lineRule="auto"/>
        <w:ind w:right="560"/>
        <w:jc w:val="right"/>
        <w:rPr>
          <w:rFonts w:ascii="仿宋_GB2312" w:hAnsi="仿宋_GB2312" w:cs="仿宋_GB2312"/>
          <w:color w:val="000000"/>
          <w:kern w:val="0"/>
          <w:sz w:val="24"/>
          <w:szCs w:val="24"/>
        </w:rPr>
      </w:pPr>
      <w:r>
        <w:rPr>
          <w:rFonts w:ascii="仿宋_GB2312" w:hAnsi="仿宋_GB2312" w:cs="仿宋_GB2312"/>
          <w:color w:val="000000"/>
          <w:kern w:val="0"/>
          <w:sz w:val="24"/>
          <w:szCs w:val="24"/>
        </w:rPr>
        <w:t xml:space="preserve"> </w:t>
      </w:r>
    </w:p>
    <w:p>
      <w:pPr>
        <w:spacing w:line="360" w:lineRule="auto"/>
        <w:ind w:right="560"/>
        <w:jc w:val="right"/>
        <w:rPr>
          <w:rFonts w:ascii="仿宋_GB2312" w:hAnsi="仿宋_GB2312" w:cs="仿宋_GB2312"/>
          <w:color w:val="000000"/>
          <w:kern w:val="0"/>
          <w:sz w:val="24"/>
          <w:szCs w:val="24"/>
        </w:rPr>
      </w:pPr>
    </w:p>
    <w:p>
      <w:pPr>
        <w:spacing w:line="360" w:lineRule="auto"/>
        <w:ind w:right="560" w:firstLine="7200" w:firstLineChars="300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沅江市国土资源局</w:t>
      </w:r>
    </w:p>
    <w:p>
      <w:pPr>
        <w:spacing w:line="160" w:lineRule="exact"/>
        <w:ind w:right="561" w:firstLine="7200" w:firstLineChars="3000"/>
        <w:rPr>
          <w:rFonts w:ascii="仿宋_GB2312" w:hAnsi="仿宋_GB2312" w:cs="仿宋_GB2312"/>
          <w:color w:val="000000"/>
          <w:kern w:val="0"/>
          <w:sz w:val="24"/>
          <w:szCs w:val="24"/>
        </w:rPr>
      </w:pPr>
    </w:p>
    <w:p>
      <w:pPr>
        <w:spacing w:line="360" w:lineRule="auto"/>
        <w:ind w:right="56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 xml:space="preserve">                                                             2021年7月15日   </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华文中宋">
    <w:altName w:val="微软雅黑"/>
    <w:panose1 w:val="02010600040101010101"/>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ODliYWM4ZjZkYmFkODc1MjVjN2YwOTE4MDhkOGEifQ=="/>
  </w:docVars>
  <w:rsids>
    <w:rsidRoot w:val="004506F9"/>
    <w:rsid w:val="0002229B"/>
    <w:rsid w:val="000273BD"/>
    <w:rsid w:val="0003109D"/>
    <w:rsid w:val="000415B7"/>
    <w:rsid w:val="00041E3F"/>
    <w:rsid w:val="000477E2"/>
    <w:rsid w:val="00055DAA"/>
    <w:rsid w:val="00061F7B"/>
    <w:rsid w:val="000658A3"/>
    <w:rsid w:val="000716EA"/>
    <w:rsid w:val="00074155"/>
    <w:rsid w:val="00080B2B"/>
    <w:rsid w:val="000875F1"/>
    <w:rsid w:val="00095CC6"/>
    <w:rsid w:val="0009788D"/>
    <w:rsid w:val="000A269A"/>
    <w:rsid w:val="000A3F69"/>
    <w:rsid w:val="000A5F77"/>
    <w:rsid w:val="000B23B5"/>
    <w:rsid w:val="000C4930"/>
    <w:rsid w:val="000C6A36"/>
    <w:rsid w:val="000D1114"/>
    <w:rsid w:val="000D3199"/>
    <w:rsid w:val="000E024B"/>
    <w:rsid w:val="00103957"/>
    <w:rsid w:val="0010693B"/>
    <w:rsid w:val="001253D5"/>
    <w:rsid w:val="0013477D"/>
    <w:rsid w:val="00140B33"/>
    <w:rsid w:val="00145FAF"/>
    <w:rsid w:val="00147D68"/>
    <w:rsid w:val="0015053D"/>
    <w:rsid w:val="001505C1"/>
    <w:rsid w:val="00152C6D"/>
    <w:rsid w:val="00154C8A"/>
    <w:rsid w:val="001558DB"/>
    <w:rsid w:val="00162D39"/>
    <w:rsid w:val="001678BD"/>
    <w:rsid w:val="00175A7A"/>
    <w:rsid w:val="001837FE"/>
    <w:rsid w:val="00194485"/>
    <w:rsid w:val="001A04A1"/>
    <w:rsid w:val="001A075D"/>
    <w:rsid w:val="001A67DB"/>
    <w:rsid w:val="001B2038"/>
    <w:rsid w:val="001C1FBD"/>
    <w:rsid w:val="001C3C29"/>
    <w:rsid w:val="001D51E5"/>
    <w:rsid w:val="001E080D"/>
    <w:rsid w:val="001E53D0"/>
    <w:rsid w:val="001F0C3B"/>
    <w:rsid w:val="001F2B07"/>
    <w:rsid w:val="00202C82"/>
    <w:rsid w:val="00214427"/>
    <w:rsid w:val="00224A9A"/>
    <w:rsid w:val="00226CB7"/>
    <w:rsid w:val="002300EF"/>
    <w:rsid w:val="0024362F"/>
    <w:rsid w:val="0025028D"/>
    <w:rsid w:val="00262017"/>
    <w:rsid w:val="00264552"/>
    <w:rsid w:val="00264EF9"/>
    <w:rsid w:val="00265724"/>
    <w:rsid w:val="0027426B"/>
    <w:rsid w:val="002749DF"/>
    <w:rsid w:val="00274B76"/>
    <w:rsid w:val="00281420"/>
    <w:rsid w:val="0028143D"/>
    <w:rsid w:val="00291E05"/>
    <w:rsid w:val="00294EDE"/>
    <w:rsid w:val="00297406"/>
    <w:rsid w:val="002C1A47"/>
    <w:rsid w:val="002E0A30"/>
    <w:rsid w:val="002F5C8D"/>
    <w:rsid w:val="003130C4"/>
    <w:rsid w:val="00316B33"/>
    <w:rsid w:val="00316C4B"/>
    <w:rsid w:val="0032192B"/>
    <w:rsid w:val="00333C6C"/>
    <w:rsid w:val="003479BD"/>
    <w:rsid w:val="00370908"/>
    <w:rsid w:val="0037197D"/>
    <w:rsid w:val="00374E87"/>
    <w:rsid w:val="00376002"/>
    <w:rsid w:val="003768D5"/>
    <w:rsid w:val="003953F8"/>
    <w:rsid w:val="003C47E6"/>
    <w:rsid w:val="003C4955"/>
    <w:rsid w:val="003C4FC2"/>
    <w:rsid w:val="003E0C95"/>
    <w:rsid w:val="003E7942"/>
    <w:rsid w:val="003F7C8B"/>
    <w:rsid w:val="00400C4A"/>
    <w:rsid w:val="00402831"/>
    <w:rsid w:val="00416E61"/>
    <w:rsid w:val="00423902"/>
    <w:rsid w:val="0042790C"/>
    <w:rsid w:val="00427FEC"/>
    <w:rsid w:val="00441093"/>
    <w:rsid w:val="00446DA3"/>
    <w:rsid w:val="004506F9"/>
    <w:rsid w:val="0046603D"/>
    <w:rsid w:val="004717A2"/>
    <w:rsid w:val="00473DF3"/>
    <w:rsid w:val="00483143"/>
    <w:rsid w:val="00486B76"/>
    <w:rsid w:val="00487911"/>
    <w:rsid w:val="00487A5A"/>
    <w:rsid w:val="00491741"/>
    <w:rsid w:val="004A4884"/>
    <w:rsid w:val="004A4A58"/>
    <w:rsid w:val="004A7285"/>
    <w:rsid w:val="004A7725"/>
    <w:rsid w:val="004B2D05"/>
    <w:rsid w:val="004C51A7"/>
    <w:rsid w:val="004D174C"/>
    <w:rsid w:val="004E08EF"/>
    <w:rsid w:val="004E466F"/>
    <w:rsid w:val="004F6A99"/>
    <w:rsid w:val="00500E5F"/>
    <w:rsid w:val="005122EF"/>
    <w:rsid w:val="0051441A"/>
    <w:rsid w:val="00515BF6"/>
    <w:rsid w:val="00517C33"/>
    <w:rsid w:val="0052213D"/>
    <w:rsid w:val="00523644"/>
    <w:rsid w:val="00523702"/>
    <w:rsid w:val="0052460F"/>
    <w:rsid w:val="00524E8F"/>
    <w:rsid w:val="0052653A"/>
    <w:rsid w:val="00535B75"/>
    <w:rsid w:val="0054069E"/>
    <w:rsid w:val="005416E4"/>
    <w:rsid w:val="00542CB7"/>
    <w:rsid w:val="00544866"/>
    <w:rsid w:val="00551AFC"/>
    <w:rsid w:val="00554DC9"/>
    <w:rsid w:val="00556E22"/>
    <w:rsid w:val="005767CC"/>
    <w:rsid w:val="00590D9F"/>
    <w:rsid w:val="00595D26"/>
    <w:rsid w:val="005A74E6"/>
    <w:rsid w:val="005B404E"/>
    <w:rsid w:val="005C0754"/>
    <w:rsid w:val="005C6B22"/>
    <w:rsid w:val="005D4D55"/>
    <w:rsid w:val="005E12A2"/>
    <w:rsid w:val="005E2CFB"/>
    <w:rsid w:val="005E4DA1"/>
    <w:rsid w:val="005F3D1C"/>
    <w:rsid w:val="006133AD"/>
    <w:rsid w:val="0062378F"/>
    <w:rsid w:val="006249C3"/>
    <w:rsid w:val="006265ED"/>
    <w:rsid w:val="0063644A"/>
    <w:rsid w:val="00641842"/>
    <w:rsid w:val="006449B7"/>
    <w:rsid w:val="00646BC5"/>
    <w:rsid w:val="00651EEC"/>
    <w:rsid w:val="00662259"/>
    <w:rsid w:val="006671CC"/>
    <w:rsid w:val="00677CFA"/>
    <w:rsid w:val="00682480"/>
    <w:rsid w:val="00691E8C"/>
    <w:rsid w:val="00695466"/>
    <w:rsid w:val="00696E25"/>
    <w:rsid w:val="006A22C4"/>
    <w:rsid w:val="006A351B"/>
    <w:rsid w:val="006B0422"/>
    <w:rsid w:val="006C1B53"/>
    <w:rsid w:val="006C3178"/>
    <w:rsid w:val="006D0B4F"/>
    <w:rsid w:val="006D7730"/>
    <w:rsid w:val="006E36B3"/>
    <w:rsid w:val="006E473D"/>
    <w:rsid w:val="006E5284"/>
    <w:rsid w:val="006E7374"/>
    <w:rsid w:val="006F3EB5"/>
    <w:rsid w:val="00702E34"/>
    <w:rsid w:val="00704395"/>
    <w:rsid w:val="007059D9"/>
    <w:rsid w:val="00717621"/>
    <w:rsid w:val="00720FF1"/>
    <w:rsid w:val="00727A53"/>
    <w:rsid w:val="00733863"/>
    <w:rsid w:val="00735337"/>
    <w:rsid w:val="007403AA"/>
    <w:rsid w:val="00754B67"/>
    <w:rsid w:val="00763C40"/>
    <w:rsid w:val="00787B42"/>
    <w:rsid w:val="007B0C77"/>
    <w:rsid w:val="007B3082"/>
    <w:rsid w:val="007C4539"/>
    <w:rsid w:val="007C4543"/>
    <w:rsid w:val="007C5A17"/>
    <w:rsid w:val="007E774A"/>
    <w:rsid w:val="007F3657"/>
    <w:rsid w:val="00812ED5"/>
    <w:rsid w:val="008277D9"/>
    <w:rsid w:val="008441B6"/>
    <w:rsid w:val="0084478C"/>
    <w:rsid w:val="0086638C"/>
    <w:rsid w:val="008715F5"/>
    <w:rsid w:val="00876012"/>
    <w:rsid w:val="00883813"/>
    <w:rsid w:val="008909C5"/>
    <w:rsid w:val="008960A3"/>
    <w:rsid w:val="008969CD"/>
    <w:rsid w:val="008A3E8D"/>
    <w:rsid w:val="008D4847"/>
    <w:rsid w:val="008E1477"/>
    <w:rsid w:val="008E39AC"/>
    <w:rsid w:val="008F5EDF"/>
    <w:rsid w:val="009028E9"/>
    <w:rsid w:val="0091034F"/>
    <w:rsid w:val="009237C4"/>
    <w:rsid w:val="0092746D"/>
    <w:rsid w:val="00927F77"/>
    <w:rsid w:val="009427B6"/>
    <w:rsid w:val="00944C48"/>
    <w:rsid w:val="00946A9D"/>
    <w:rsid w:val="00947AF5"/>
    <w:rsid w:val="00950252"/>
    <w:rsid w:val="00955128"/>
    <w:rsid w:val="00967F5D"/>
    <w:rsid w:val="00974A80"/>
    <w:rsid w:val="00977EE1"/>
    <w:rsid w:val="00992CBA"/>
    <w:rsid w:val="009A0F95"/>
    <w:rsid w:val="009A3097"/>
    <w:rsid w:val="009B3ADF"/>
    <w:rsid w:val="009B67EF"/>
    <w:rsid w:val="009B6D3E"/>
    <w:rsid w:val="009C3B52"/>
    <w:rsid w:val="009E6817"/>
    <w:rsid w:val="009E6E9A"/>
    <w:rsid w:val="009F162E"/>
    <w:rsid w:val="009F66C4"/>
    <w:rsid w:val="009F67DF"/>
    <w:rsid w:val="00A01D2B"/>
    <w:rsid w:val="00A073F7"/>
    <w:rsid w:val="00A1062E"/>
    <w:rsid w:val="00A12A82"/>
    <w:rsid w:val="00A216A5"/>
    <w:rsid w:val="00A36E88"/>
    <w:rsid w:val="00A42218"/>
    <w:rsid w:val="00A54BD2"/>
    <w:rsid w:val="00A70249"/>
    <w:rsid w:val="00A70B02"/>
    <w:rsid w:val="00A71D9F"/>
    <w:rsid w:val="00A72907"/>
    <w:rsid w:val="00A76C8A"/>
    <w:rsid w:val="00A810D7"/>
    <w:rsid w:val="00A85ABA"/>
    <w:rsid w:val="00A92E9F"/>
    <w:rsid w:val="00AA6221"/>
    <w:rsid w:val="00AB07CF"/>
    <w:rsid w:val="00AB6EE0"/>
    <w:rsid w:val="00AE390D"/>
    <w:rsid w:val="00AE3B0B"/>
    <w:rsid w:val="00AF0EC8"/>
    <w:rsid w:val="00B1364A"/>
    <w:rsid w:val="00B233F6"/>
    <w:rsid w:val="00B33BEA"/>
    <w:rsid w:val="00B57C9F"/>
    <w:rsid w:val="00B63572"/>
    <w:rsid w:val="00B636A2"/>
    <w:rsid w:val="00B666BF"/>
    <w:rsid w:val="00B831B7"/>
    <w:rsid w:val="00B845B3"/>
    <w:rsid w:val="00B85D8B"/>
    <w:rsid w:val="00B87AF9"/>
    <w:rsid w:val="00BA12BA"/>
    <w:rsid w:val="00BB4A40"/>
    <w:rsid w:val="00BC502C"/>
    <w:rsid w:val="00BC6CAF"/>
    <w:rsid w:val="00BD6C3E"/>
    <w:rsid w:val="00BE00C6"/>
    <w:rsid w:val="00BE3674"/>
    <w:rsid w:val="00BE5EE6"/>
    <w:rsid w:val="00BE6BF2"/>
    <w:rsid w:val="00C10681"/>
    <w:rsid w:val="00C15DBC"/>
    <w:rsid w:val="00C16717"/>
    <w:rsid w:val="00C3049A"/>
    <w:rsid w:val="00C31B1E"/>
    <w:rsid w:val="00C31DCA"/>
    <w:rsid w:val="00C77645"/>
    <w:rsid w:val="00C93251"/>
    <w:rsid w:val="00CA64B2"/>
    <w:rsid w:val="00CC0E0C"/>
    <w:rsid w:val="00CC5871"/>
    <w:rsid w:val="00CD6D53"/>
    <w:rsid w:val="00CE04C3"/>
    <w:rsid w:val="00CE36FF"/>
    <w:rsid w:val="00CE76A0"/>
    <w:rsid w:val="00CF3E06"/>
    <w:rsid w:val="00D148C6"/>
    <w:rsid w:val="00D16FC0"/>
    <w:rsid w:val="00D17A8A"/>
    <w:rsid w:val="00D36BD8"/>
    <w:rsid w:val="00D415BA"/>
    <w:rsid w:val="00D576FA"/>
    <w:rsid w:val="00D644EE"/>
    <w:rsid w:val="00DB2F75"/>
    <w:rsid w:val="00DB6B6E"/>
    <w:rsid w:val="00DC1ADC"/>
    <w:rsid w:val="00DD06FF"/>
    <w:rsid w:val="00DD07B6"/>
    <w:rsid w:val="00DD5FE9"/>
    <w:rsid w:val="00DE69F4"/>
    <w:rsid w:val="00E00C7A"/>
    <w:rsid w:val="00E260DC"/>
    <w:rsid w:val="00E37D6C"/>
    <w:rsid w:val="00E409E8"/>
    <w:rsid w:val="00E43C8A"/>
    <w:rsid w:val="00E444ED"/>
    <w:rsid w:val="00E52AC8"/>
    <w:rsid w:val="00E55B68"/>
    <w:rsid w:val="00E66919"/>
    <w:rsid w:val="00E67BE6"/>
    <w:rsid w:val="00E85578"/>
    <w:rsid w:val="00E8683C"/>
    <w:rsid w:val="00EA2B72"/>
    <w:rsid w:val="00EA4BD3"/>
    <w:rsid w:val="00EF1C72"/>
    <w:rsid w:val="00F00422"/>
    <w:rsid w:val="00F2126C"/>
    <w:rsid w:val="00F23E3B"/>
    <w:rsid w:val="00F24C8F"/>
    <w:rsid w:val="00F35A0C"/>
    <w:rsid w:val="00F72E6C"/>
    <w:rsid w:val="00F74360"/>
    <w:rsid w:val="00F820DC"/>
    <w:rsid w:val="00F96DC0"/>
    <w:rsid w:val="00FA781B"/>
    <w:rsid w:val="00FB0C57"/>
    <w:rsid w:val="00FB462F"/>
    <w:rsid w:val="00FE16FA"/>
    <w:rsid w:val="00FE328A"/>
    <w:rsid w:val="00FE6269"/>
    <w:rsid w:val="00FF1B02"/>
    <w:rsid w:val="288F3681"/>
    <w:rsid w:val="5D3A4F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locked/>
    <w:uiPriority w:val="99"/>
    <w:rPr>
      <w:rFonts w:cs="Times New Roman"/>
      <w:sz w:val="18"/>
      <w:szCs w:val="18"/>
    </w:rPr>
  </w:style>
  <w:style w:type="character" w:customStyle="1" w:styleId="8">
    <w:name w:val="页脚 Char"/>
    <w:basedOn w:val="6"/>
    <w:link w:val="3"/>
    <w:qFormat/>
    <w:locked/>
    <w:uiPriority w:val="99"/>
    <w:rPr>
      <w:rFonts w:cs="Times New Roman"/>
      <w:sz w:val="18"/>
      <w:szCs w:val="18"/>
    </w:rPr>
  </w:style>
  <w:style w:type="paragraph" w:customStyle="1" w:styleId="9">
    <w:name w:val="Defaul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00DDB-8FDB-4FC2-8CD2-D530D0A0DCB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2312</Words>
  <Characters>13184</Characters>
  <Lines>109</Lines>
  <Paragraphs>30</Paragraphs>
  <TotalTime>1502</TotalTime>
  <ScaleCrop>false</ScaleCrop>
  <LinksUpToDate>false</LinksUpToDate>
  <CharactersWithSpaces>15466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2021-08-03T01:03:00Z</dcterms:created>
  <dc:creator>李航 null</dc:creator>
  <cp:lastModifiedBy>WPS_234617089</cp:lastModifiedBy>
  <cp:lastPrinted>2021-08-23T02:49:00Z</cp:lastPrinted>
  <dcterms:modified xsi:type="dcterms:W3CDTF">2023-10-07T09:22:54Z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5BB4CF239F1C4A8193ECC924FD356C44_13</vt:lpwstr>
  </property>
</Properties>
</file>