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hint="eastAsia"/>
          <w:sz w:val="56"/>
          <w:szCs w:val="56"/>
        </w:rPr>
      </w:pPr>
    </w:p>
    <w:p>
      <w:pPr>
        <w:pStyle w:val="9"/>
        <w:jc w:val="center"/>
        <w:rPr>
          <w:sz w:val="56"/>
          <w:szCs w:val="56"/>
        </w:rPr>
      </w:pPr>
    </w:p>
    <w:p>
      <w:pPr>
        <w:pStyle w:val="9"/>
        <w:jc w:val="center"/>
        <w:rPr>
          <w:sz w:val="84"/>
          <w:szCs w:val="84"/>
        </w:rPr>
      </w:pPr>
    </w:p>
    <w:p>
      <w:pPr>
        <w:pStyle w:val="9"/>
        <w:jc w:val="center"/>
        <w:rPr>
          <w:sz w:val="84"/>
          <w:szCs w:val="84"/>
        </w:rPr>
      </w:pPr>
    </w:p>
    <w:p>
      <w:pPr>
        <w:pStyle w:val="9"/>
        <w:jc w:val="center"/>
        <w:rPr>
          <w:sz w:val="84"/>
          <w:szCs w:val="84"/>
        </w:rPr>
      </w:pPr>
      <w:r>
        <w:rPr>
          <w:rFonts w:hint="eastAsia"/>
          <w:sz w:val="84"/>
          <w:szCs w:val="84"/>
        </w:rPr>
        <w:t>2021年度</w:t>
      </w:r>
    </w:p>
    <w:p>
      <w:pPr>
        <w:pStyle w:val="9"/>
        <w:jc w:val="center"/>
        <w:rPr>
          <w:sz w:val="84"/>
          <w:szCs w:val="84"/>
        </w:rPr>
      </w:pPr>
      <w:r>
        <w:rPr>
          <w:rFonts w:hint="eastAsia"/>
          <w:sz w:val="84"/>
          <w:szCs w:val="84"/>
          <w:lang w:eastAsia="zh-CN"/>
        </w:rPr>
        <w:t>沅江市烈士陵园服务中心</w:t>
      </w:r>
      <w:r>
        <w:rPr>
          <w:rFonts w:hint="eastAsia"/>
          <w:sz w:val="84"/>
          <w:szCs w:val="84"/>
        </w:rPr>
        <w:t>部门决算</w:t>
      </w:r>
    </w:p>
    <w:p>
      <w:pPr>
        <w:pStyle w:val="9"/>
        <w:jc w:val="center"/>
        <w:rPr>
          <w:sz w:val="56"/>
          <w:szCs w:val="56"/>
        </w:rPr>
      </w:pPr>
    </w:p>
    <w:p>
      <w:pPr>
        <w:pStyle w:val="9"/>
        <w:jc w:val="center"/>
        <w:rPr>
          <w:sz w:val="56"/>
          <w:szCs w:val="56"/>
        </w:rPr>
      </w:pPr>
    </w:p>
    <w:p>
      <w:pPr>
        <w:pStyle w:val="9"/>
        <w:jc w:val="center"/>
        <w:rPr>
          <w:sz w:val="56"/>
          <w:szCs w:val="56"/>
        </w:rPr>
      </w:pPr>
    </w:p>
    <w:p>
      <w:pPr>
        <w:pStyle w:val="9"/>
        <w:jc w:val="center"/>
        <w:rPr>
          <w:sz w:val="56"/>
          <w:szCs w:val="56"/>
        </w:rPr>
      </w:pPr>
    </w:p>
    <w:p>
      <w:pPr>
        <w:pStyle w:val="9"/>
        <w:jc w:val="center"/>
        <w:rPr>
          <w:sz w:val="32"/>
          <w:szCs w:val="32"/>
        </w:rPr>
      </w:pPr>
    </w:p>
    <w:p>
      <w:pPr>
        <w:pStyle w:val="9"/>
        <w:jc w:val="center"/>
        <w:rPr>
          <w:sz w:val="32"/>
          <w:szCs w:val="32"/>
        </w:rPr>
      </w:pPr>
    </w:p>
    <w:p>
      <w:pPr>
        <w:pStyle w:val="9"/>
        <w:jc w:val="center"/>
        <w:rPr>
          <w:sz w:val="32"/>
          <w:szCs w:val="32"/>
        </w:rPr>
      </w:pPr>
    </w:p>
    <w:p>
      <w:pPr>
        <w:pStyle w:val="9"/>
        <w:jc w:val="center"/>
        <w:rPr>
          <w:sz w:val="32"/>
          <w:szCs w:val="32"/>
        </w:rPr>
      </w:pPr>
    </w:p>
    <w:p>
      <w:pPr>
        <w:pStyle w:val="9"/>
        <w:jc w:val="center"/>
        <w:rPr>
          <w:sz w:val="32"/>
          <w:szCs w:val="32"/>
        </w:rPr>
      </w:pPr>
    </w:p>
    <w:p>
      <w:pPr>
        <w:pStyle w:val="9"/>
        <w:spacing w:line="540" w:lineRule="exact"/>
        <w:jc w:val="center"/>
        <w:rPr>
          <w:sz w:val="56"/>
          <w:szCs w:val="56"/>
        </w:rPr>
      </w:pPr>
    </w:p>
    <w:p>
      <w:pPr>
        <w:pStyle w:val="9"/>
        <w:spacing w:line="500" w:lineRule="exact"/>
        <w:jc w:val="center"/>
        <w:rPr>
          <w:b/>
          <w:sz w:val="36"/>
          <w:szCs w:val="28"/>
        </w:rPr>
      </w:pPr>
    </w:p>
    <w:p>
      <w:pPr>
        <w:pStyle w:val="9"/>
        <w:spacing w:line="500" w:lineRule="exact"/>
        <w:jc w:val="center"/>
        <w:rPr>
          <w:b/>
          <w:sz w:val="36"/>
          <w:szCs w:val="28"/>
        </w:rPr>
      </w:pPr>
    </w:p>
    <w:p>
      <w:pPr>
        <w:pStyle w:val="9"/>
        <w:spacing w:line="500" w:lineRule="exact"/>
        <w:jc w:val="center"/>
        <w:rPr>
          <w:b/>
          <w:sz w:val="36"/>
          <w:szCs w:val="28"/>
        </w:rPr>
      </w:pPr>
      <w:r>
        <w:rPr>
          <w:rFonts w:hint="eastAsia"/>
          <w:b/>
          <w:sz w:val="36"/>
          <w:szCs w:val="28"/>
        </w:rPr>
        <w:t>目录</w:t>
      </w:r>
    </w:p>
    <w:p>
      <w:pPr>
        <w:pStyle w:val="9"/>
        <w:spacing w:line="500" w:lineRule="exact"/>
        <w:rPr>
          <w:rFonts w:ascii="仿宋_GB2312" w:hAnsi="仿宋_GB2312" w:cs="仿宋_GB2312"/>
          <w:b/>
          <w:sz w:val="28"/>
          <w:szCs w:val="28"/>
        </w:rPr>
      </w:pPr>
      <w:r>
        <w:rPr>
          <w:rFonts w:hint="eastAsia"/>
          <w:b/>
          <w:sz w:val="28"/>
          <w:szCs w:val="28"/>
        </w:rPr>
        <w:t>第一部分</w:t>
      </w:r>
      <w:r>
        <w:rPr>
          <w:rFonts w:hint="eastAsia"/>
          <w:b/>
          <w:sz w:val="28"/>
          <w:szCs w:val="28"/>
          <w:lang w:eastAsia="zh-CN"/>
        </w:rPr>
        <w:t>沅江市烈士陵园服务中心</w:t>
      </w:r>
      <w:r>
        <w:rPr>
          <w:rFonts w:hint="eastAsia"/>
          <w:b/>
          <w:sz w:val="28"/>
          <w:szCs w:val="28"/>
        </w:rPr>
        <w:t>概况</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9"/>
        <w:spacing w:line="50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21年度部门决算表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w:t>
      </w:r>
      <w:r>
        <w:rPr>
          <w:rFonts w:hint="eastAsia" w:cs="仿宋_GB2312" w:asciiTheme="minorEastAsia" w:hAnsiTheme="minorEastAsia" w:eastAsiaTheme="minorEastAsia"/>
          <w:sz w:val="28"/>
          <w:szCs w:val="28"/>
        </w:rPr>
        <w:t>明细</w:t>
      </w:r>
      <w:r>
        <w:rPr>
          <w:rFonts w:cs="仿宋_GB2312" w:asciiTheme="minorEastAsia" w:hAnsiTheme="minorEastAsia" w:eastAsiaTheme="minorEastAsia"/>
          <w:sz w:val="28"/>
          <w:szCs w:val="28"/>
        </w:rPr>
        <w:t>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9"/>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9"/>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21年度部门决算情况说明</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三公</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机关运行经费支出说明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十一、政府采购支出说明</w:t>
      </w:r>
    </w:p>
    <w:p>
      <w:pPr>
        <w:pStyle w:val="9"/>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十二、国有资产占用情况说明</w:t>
      </w:r>
    </w:p>
    <w:p>
      <w:pPr>
        <w:pStyle w:val="9"/>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w:t>
      </w:r>
      <w:r>
        <w:rPr>
          <w:rFonts w:hint="eastAsia" w:cs="仿宋_GB2312" w:asciiTheme="minorEastAsia" w:hAnsiTheme="minorEastAsia" w:eastAsiaTheme="minorEastAsia"/>
          <w:sz w:val="28"/>
          <w:szCs w:val="28"/>
        </w:rPr>
        <w:t>2021年</w:t>
      </w:r>
      <w:r>
        <w:rPr>
          <w:rFonts w:hint="eastAsia" w:ascii="仿宋_GB2312" w:hAnsi="仿宋_GB2312" w:cs="仿宋_GB2312" w:eastAsiaTheme="minorEastAsia"/>
          <w:sz w:val="28"/>
          <w:szCs w:val="28"/>
        </w:rPr>
        <w:t>度预算绩效情况说明</w:t>
      </w:r>
    </w:p>
    <w:p>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rPr>
          <w:sz w:val="72"/>
          <w:szCs w:val="72"/>
        </w:rPr>
      </w:pPr>
    </w:p>
    <w:p>
      <w:pPr>
        <w:rPr>
          <w:sz w:val="72"/>
          <w:szCs w:val="72"/>
        </w:rPr>
      </w:pPr>
    </w:p>
    <w:p>
      <w:pPr>
        <w:rPr>
          <w:sz w:val="72"/>
          <w:szCs w:val="72"/>
        </w:rPr>
      </w:pPr>
    </w:p>
    <w:p>
      <w:pPr>
        <w:rPr>
          <w:sz w:val="72"/>
          <w:szCs w:val="72"/>
        </w:rPr>
      </w:pPr>
    </w:p>
    <w:p>
      <w:pPr>
        <w:rPr>
          <w:sz w:val="72"/>
          <w:szCs w:val="72"/>
        </w:rPr>
      </w:pPr>
    </w:p>
    <w:p>
      <w:pPr>
        <w:rPr>
          <w:sz w:val="72"/>
          <w:szCs w:val="72"/>
        </w:rPr>
      </w:pPr>
    </w:p>
    <w:p>
      <w:pPr>
        <w:rPr>
          <w:sz w:val="72"/>
          <w:szCs w:val="72"/>
        </w:rPr>
      </w:pPr>
    </w:p>
    <w:p>
      <w:pPr>
        <w:rPr>
          <w:sz w:val="72"/>
          <w:szCs w:val="72"/>
        </w:rPr>
      </w:pPr>
    </w:p>
    <w:p>
      <w:pPr>
        <w:rPr>
          <w:sz w:val="72"/>
          <w:szCs w:val="72"/>
        </w:rPr>
      </w:pPr>
    </w:p>
    <w:p>
      <w:pPr>
        <w:rPr>
          <w:sz w:val="72"/>
          <w:szCs w:val="72"/>
        </w:rPr>
      </w:pPr>
    </w:p>
    <w:p>
      <w:pPr>
        <w:rPr>
          <w:sz w:val="72"/>
          <w:szCs w:val="72"/>
        </w:rPr>
      </w:pPr>
    </w:p>
    <w:p>
      <w:pPr>
        <w:rPr>
          <w:sz w:val="72"/>
          <w:szCs w:val="72"/>
        </w:rPr>
      </w:pPr>
    </w:p>
    <w:p>
      <w:pPr>
        <w:rPr>
          <w:sz w:val="72"/>
          <w:szCs w:val="72"/>
        </w:rPr>
      </w:pPr>
    </w:p>
    <w:p>
      <w:pPr>
        <w:rPr>
          <w:sz w:val="72"/>
          <w:szCs w:val="72"/>
        </w:rPr>
      </w:pPr>
    </w:p>
    <w:p>
      <w:pPr>
        <w:pStyle w:val="9"/>
        <w:jc w:val="center"/>
        <w:rPr>
          <w:sz w:val="84"/>
          <w:szCs w:val="84"/>
        </w:rPr>
      </w:pPr>
      <w:r>
        <w:rPr>
          <w:rFonts w:hint="eastAsia"/>
          <w:sz w:val="84"/>
          <w:szCs w:val="84"/>
        </w:rPr>
        <w:t>第一部分</w:t>
      </w:r>
      <w:r>
        <w:rPr>
          <w:sz w:val="84"/>
          <w:szCs w:val="84"/>
        </w:rPr>
        <w:t xml:space="preserve"> </w:t>
      </w:r>
    </w:p>
    <w:p>
      <w:pPr>
        <w:pStyle w:val="9"/>
        <w:jc w:val="center"/>
        <w:rPr>
          <w:sz w:val="84"/>
          <w:szCs w:val="84"/>
        </w:rPr>
      </w:pPr>
    </w:p>
    <w:p>
      <w:pPr>
        <w:pStyle w:val="9"/>
        <w:jc w:val="center"/>
        <w:rPr>
          <w:sz w:val="84"/>
          <w:szCs w:val="84"/>
        </w:rPr>
      </w:pPr>
      <w:r>
        <w:rPr>
          <w:rFonts w:hint="eastAsia"/>
          <w:sz w:val="72"/>
          <w:szCs w:val="72"/>
          <w:lang w:eastAsia="zh-CN"/>
        </w:rPr>
        <w:t>沅江市烈士陵园服务中心</w:t>
      </w:r>
      <w:r>
        <w:rPr>
          <w:rFonts w:hint="eastAsia"/>
          <w:sz w:val="72"/>
          <w:szCs w:val="72"/>
        </w:rPr>
        <w:t>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0"/>
        <w:ind w:left="720" w:firstLine="0" w:firstLineChars="0"/>
        <w:jc w:val="left"/>
        <w:rPr>
          <w:rFonts w:ascii="黑体" w:hAnsi="黑体" w:eastAsia="黑体"/>
          <w:sz w:val="32"/>
          <w:szCs w:val="32"/>
        </w:rPr>
      </w:pPr>
    </w:p>
    <w:p>
      <w:pPr>
        <w:pStyle w:val="10"/>
        <w:ind w:left="720" w:firstLine="0" w:firstLineChars="0"/>
        <w:jc w:val="left"/>
        <w:rPr>
          <w:rFonts w:ascii="黑体" w:hAnsi="黑体" w:eastAsia="黑体"/>
          <w:sz w:val="32"/>
          <w:szCs w:val="32"/>
        </w:rPr>
      </w:pPr>
    </w:p>
    <w:p>
      <w:pPr>
        <w:pStyle w:val="10"/>
        <w:ind w:left="720" w:firstLine="0" w:firstLineChars="0"/>
        <w:jc w:val="left"/>
        <w:rPr>
          <w:rFonts w:ascii="黑体" w:hAnsi="黑体" w:eastAsia="黑体"/>
          <w:sz w:val="32"/>
          <w:szCs w:val="32"/>
        </w:rPr>
      </w:pPr>
    </w:p>
    <w:p>
      <w:pPr>
        <w:pStyle w:val="10"/>
        <w:ind w:left="720" w:firstLine="0" w:firstLineChars="0"/>
        <w:jc w:val="left"/>
        <w:rPr>
          <w:rFonts w:ascii="黑体" w:hAnsi="黑体" w:eastAsia="黑体"/>
          <w:sz w:val="32"/>
          <w:szCs w:val="32"/>
        </w:rPr>
      </w:pPr>
    </w:p>
    <w:p>
      <w:pPr>
        <w:pStyle w:val="10"/>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widowControl/>
        <w:shd w:val="clear" w:color="auto" w:fill="FFFFFF"/>
        <w:spacing w:before="100" w:after="100" w:line="560" w:lineRule="atLeast"/>
        <w:ind w:left="781" w:leftChars="229" w:hanging="300" w:hangingChars="100"/>
        <w:jc w:val="left"/>
        <w:rPr>
          <w:rFonts w:hint="eastAsia" w:ascii="仿宋" w:hAnsi="仿宋" w:eastAsia="仿宋" w:cs="仿宋_GB2312"/>
          <w:color w:val="333333"/>
          <w:kern w:val="0"/>
          <w:sz w:val="30"/>
          <w:szCs w:val="30"/>
          <w:shd w:val="clear" w:color="auto" w:fill="FFFFFF"/>
          <w:lang w:bidi="ar"/>
        </w:rPr>
      </w:pPr>
      <w:r>
        <w:rPr>
          <w:rFonts w:hint="eastAsia" w:ascii="仿宋" w:hAnsi="仿宋" w:eastAsia="仿宋" w:cs="仿宋_GB2312"/>
          <w:color w:val="333333"/>
          <w:kern w:val="0"/>
          <w:sz w:val="30"/>
          <w:szCs w:val="30"/>
          <w:shd w:val="clear" w:color="auto" w:fill="FFFFFF"/>
          <w:lang w:bidi="ar"/>
        </w:rPr>
        <w:t>1.根据国家有关制度，认真贯彻执上级有关规定不违法，不违反规章制度。</w:t>
      </w:r>
    </w:p>
    <w:p>
      <w:pPr>
        <w:widowControl/>
        <w:shd w:val="clear" w:color="auto" w:fill="FFFFFF"/>
        <w:spacing w:before="100" w:after="100" w:line="560" w:lineRule="atLeast"/>
        <w:ind w:firstLine="450" w:firstLineChars="150"/>
        <w:jc w:val="left"/>
        <w:rPr>
          <w:rFonts w:hint="eastAsia" w:ascii="仿宋" w:hAnsi="仿宋" w:eastAsia="仿宋" w:cs="仿宋_GB2312"/>
          <w:color w:val="333333"/>
          <w:kern w:val="0"/>
          <w:sz w:val="30"/>
          <w:szCs w:val="30"/>
          <w:shd w:val="clear" w:color="auto" w:fill="FFFFFF"/>
          <w:lang w:bidi="ar"/>
        </w:rPr>
      </w:pPr>
      <w:r>
        <w:rPr>
          <w:rFonts w:hint="eastAsia" w:ascii="仿宋" w:hAnsi="仿宋" w:eastAsia="仿宋" w:cs="仿宋_GB2312"/>
          <w:color w:val="333333"/>
          <w:kern w:val="0"/>
          <w:sz w:val="30"/>
          <w:szCs w:val="30"/>
          <w:shd w:val="clear" w:color="auto" w:fill="FFFFFF"/>
          <w:lang w:bidi="ar"/>
        </w:rPr>
        <w:t>2.严格物价政策，负责规范收费项目。</w:t>
      </w:r>
    </w:p>
    <w:p>
      <w:pPr>
        <w:widowControl/>
        <w:shd w:val="clear" w:color="auto" w:fill="FFFFFF"/>
        <w:spacing w:before="100" w:after="100" w:line="560" w:lineRule="atLeast"/>
        <w:ind w:firstLine="450" w:firstLineChars="150"/>
        <w:jc w:val="left"/>
        <w:rPr>
          <w:rFonts w:hint="eastAsia" w:ascii="仿宋" w:hAnsi="仿宋" w:eastAsia="仿宋" w:cs="仿宋_GB2312"/>
          <w:color w:val="333333"/>
          <w:kern w:val="0"/>
          <w:sz w:val="30"/>
          <w:szCs w:val="30"/>
          <w:shd w:val="clear" w:color="auto" w:fill="FFFFFF"/>
          <w:lang w:bidi="ar"/>
        </w:rPr>
      </w:pPr>
      <w:r>
        <w:rPr>
          <w:rFonts w:hint="eastAsia" w:ascii="仿宋" w:hAnsi="仿宋" w:eastAsia="仿宋" w:cs="仿宋_GB2312"/>
          <w:color w:val="333333"/>
          <w:kern w:val="0"/>
          <w:sz w:val="30"/>
          <w:szCs w:val="30"/>
          <w:shd w:val="clear" w:color="auto" w:fill="FFFFFF"/>
          <w:lang w:bidi="ar"/>
        </w:rPr>
        <w:t>3.加强墓园管理，保证卫生、美观、安全。</w:t>
      </w:r>
    </w:p>
    <w:p>
      <w:pPr>
        <w:widowControl/>
        <w:shd w:val="clear" w:color="auto" w:fill="FFFFFF"/>
        <w:spacing w:before="100" w:after="100" w:line="560" w:lineRule="atLeast"/>
        <w:ind w:firstLine="450" w:firstLineChars="150"/>
        <w:jc w:val="left"/>
        <w:rPr>
          <w:rFonts w:hint="eastAsia" w:ascii="仿宋" w:hAnsi="仿宋" w:eastAsia="仿宋" w:cs="仿宋_GB2312"/>
          <w:color w:val="333333"/>
          <w:kern w:val="0"/>
          <w:sz w:val="30"/>
          <w:szCs w:val="30"/>
          <w:shd w:val="clear" w:color="auto" w:fill="FFFFFF"/>
          <w:lang w:bidi="ar"/>
        </w:rPr>
      </w:pPr>
      <w:r>
        <w:rPr>
          <w:rFonts w:hint="eastAsia" w:ascii="仿宋" w:hAnsi="仿宋" w:eastAsia="仿宋" w:cs="仿宋_GB2312"/>
          <w:color w:val="333333"/>
          <w:kern w:val="0"/>
          <w:sz w:val="30"/>
          <w:szCs w:val="30"/>
          <w:shd w:val="clear" w:color="auto" w:fill="FFFFFF"/>
          <w:lang w:bidi="ar"/>
        </w:rPr>
        <w:t>4、做好墓地宣传及烈士广场的维护。</w:t>
      </w:r>
    </w:p>
    <w:p>
      <w:pPr>
        <w:widowControl/>
        <w:shd w:val="clear" w:color="auto" w:fill="FFFFFF"/>
        <w:spacing w:before="100" w:after="100" w:line="560" w:lineRule="atLeast"/>
        <w:ind w:firstLine="450" w:firstLineChars="150"/>
        <w:jc w:val="left"/>
        <w:rPr>
          <w:rFonts w:hint="eastAsia" w:ascii="仿宋" w:hAnsi="仿宋" w:eastAsia="仿宋" w:cs="仿宋_GB2312"/>
          <w:color w:val="333333"/>
          <w:kern w:val="0"/>
          <w:sz w:val="30"/>
          <w:szCs w:val="30"/>
          <w:shd w:val="clear" w:color="auto" w:fill="FFFFFF"/>
          <w:lang w:bidi="ar"/>
        </w:rPr>
      </w:pPr>
      <w:r>
        <w:rPr>
          <w:rFonts w:hint="eastAsia" w:ascii="仿宋" w:hAnsi="仿宋" w:eastAsia="仿宋" w:cs="仿宋_GB2312"/>
          <w:color w:val="333333"/>
          <w:kern w:val="0"/>
          <w:sz w:val="30"/>
          <w:szCs w:val="30"/>
          <w:shd w:val="clear" w:color="auto" w:fill="FFFFFF"/>
          <w:lang w:bidi="ar"/>
        </w:rPr>
        <w:t>5、负责革命烈士的褒扬工作</w:t>
      </w:r>
    </w:p>
    <w:p>
      <w:pPr>
        <w:widowControl/>
        <w:shd w:val="clear" w:color="auto" w:fill="FFFFFF"/>
        <w:spacing w:before="100" w:after="100" w:line="560" w:lineRule="atLeast"/>
        <w:ind w:left="480"/>
        <w:jc w:val="left"/>
        <w:rPr>
          <w:rFonts w:hint="eastAsia" w:ascii="仿宋" w:hAnsi="仿宋" w:eastAsia="仿宋" w:cs="仿宋_GB2312"/>
          <w:color w:val="333333"/>
          <w:kern w:val="0"/>
          <w:sz w:val="30"/>
          <w:szCs w:val="30"/>
          <w:shd w:val="clear" w:color="auto" w:fill="FFFFFF"/>
          <w:lang w:bidi="ar"/>
        </w:rPr>
      </w:pPr>
      <w:r>
        <w:rPr>
          <w:rFonts w:hint="eastAsia" w:ascii="仿宋" w:hAnsi="仿宋" w:eastAsia="仿宋" w:cs="仿宋_GB2312"/>
          <w:color w:val="333333"/>
          <w:kern w:val="0"/>
          <w:sz w:val="30"/>
          <w:szCs w:val="30"/>
          <w:shd w:val="clear" w:color="auto" w:fill="FFFFFF"/>
          <w:lang w:bidi="ar"/>
        </w:rPr>
        <w:t>6、负责革命烈士的骨灰安放工作。</w:t>
      </w:r>
    </w:p>
    <w:p>
      <w:pPr>
        <w:numPr>
          <w:ilvl w:val="0"/>
          <w:numId w:val="0"/>
        </w:numPr>
        <w:ind w:left="0" w:leftChars="0" w:firstLine="416" w:firstLineChars="139"/>
        <w:jc w:val="left"/>
        <w:rPr>
          <w:rFonts w:ascii="仿宋" w:hAnsi="仿宋" w:eastAsia="仿宋"/>
          <w:sz w:val="30"/>
          <w:szCs w:val="24"/>
        </w:rPr>
      </w:pPr>
      <w:r>
        <w:rPr>
          <w:rFonts w:hint="eastAsia" w:ascii="仿宋" w:hAnsi="仿宋" w:eastAsia="仿宋" w:cs="仿宋_GB2312"/>
          <w:color w:val="333333"/>
          <w:kern w:val="0"/>
          <w:sz w:val="30"/>
          <w:szCs w:val="30"/>
          <w:shd w:val="clear" w:color="auto" w:fill="FFFFFF"/>
          <w:lang w:val="en-US" w:eastAsia="zh-CN" w:bidi="ar"/>
        </w:rPr>
        <w:t>7、</w:t>
      </w:r>
      <w:r>
        <w:rPr>
          <w:rFonts w:hint="eastAsia" w:ascii="仿宋" w:hAnsi="仿宋" w:eastAsia="仿宋" w:cs="仿宋_GB2312"/>
          <w:color w:val="333333"/>
          <w:kern w:val="0"/>
          <w:sz w:val="30"/>
          <w:szCs w:val="30"/>
          <w:shd w:val="clear" w:color="auto" w:fill="FFFFFF"/>
          <w:lang w:bidi="ar"/>
        </w:rPr>
        <w:t>负责为社会各界及烈士亲属祭扫活动提供服务，充分发挥爱国主义及青少年教育基地的作用。</w:t>
      </w: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numPr>
          <w:ilvl w:val="0"/>
          <w:numId w:val="2"/>
        </w:numPr>
        <w:jc w:val="left"/>
        <w:rPr>
          <w:rFonts w:ascii="仿宋" w:hAnsi="仿宋" w:eastAsia="仿宋"/>
          <w:sz w:val="30"/>
          <w:szCs w:val="24"/>
        </w:rPr>
      </w:pPr>
      <w:r>
        <w:rPr>
          <w:rFonts w:hint="eastAsia" w:ascii="仿宋" w:hAnsi="仿宋" w:eastAsia="仿宋"/>
          <w:sz w:val="30"/>
          <w:szCs w:val="24"/>
        </w:rPr>
        <w:t>机构设置情况：沅江市烈士陵园服务中心是民政局下属的二级事业单位。</w:t>
      </w:r>
      <w:r>
        <w:rPr>
          <w:rFonts w:hint="eastAsia" w:ascii="仿宋" w:hAnsi="仿宋" w:eastAsia="仿宋"/>
          <w:color w:val="000000"/>
          <w:kern w:val="0"/>
          <w:sz w:val="30"/>
          <w:szCs w:val="24"/>
        </w:rPr>
        <w:t>根据编委核定，纳入</w:t>
      </w:r>
      <w:r>
        <w:rPr>
          <w:rFonts w:ascii="仿宋" w:hAnsi="仿宋" w:eastAsia="仿宋"/>
          <w:color w:val="000000"/>
          <w:kern w:val="0"/>
          <w:sz w:val="30"/>
          <w:szCs w:val="24"/>
        </w:rPr>
        <w:t>20</w:t>
      </w:r>
      <w:r>
        <w:rPr>
          <w:rFonts w:hint="eastAsia" w:ascii="仿宋" w:hAnsi="仿宋" w:eastAsia="仿宋"/>
          <w:color w:val="000000"/>
          <w:kern w:val="0"/>
          <w:sz w:val="30"/>
          <w:szCs w:val="24"/>
          <w:lang w:val="en-US" w:eastAsia="zh-CN"/>
        </w:rPr>
        <w:t>21</w:t>
      </w:r>
      <w:r>
        <w:rPr>
          <w:rFonts w:hint="eastAsia" w:ascii="仿宋" w:hAnsi="仿宋" w:eastAsia="仿宋"/>
          <w:color w:val="000000"/>
          <w:kern w:val="0"/>
          <w:sz w:val="30"/>
          <w:szCs w:val="24"/>
        </w:rPr>
        <w:t>年部门决算编制范围。</w:t>
      </w:r>
    </w:p>
    <w:p>
      <w:pPr>
        <w:numPr>
          <w:ilvl w:val="0"/>
          <w:numId w:val="0"/>
        </w:numPr>
        <w:jc w:val="left"/>
        <w:rPr>
          <w:rFonts w:ascii="仿宋" w:hAnsi="仿宋" w:eastAsia="仿宋"/>
          <w:sz w:val="30"/>
          <w:szCs w:val="24"/>
        </w:rPr>
      </w:pPr>
    </w:p>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r>
        <w:rPr>
          <w:rFonts w:hint="eastAsia"/>
          <w:sz w:val="72"/>
          <w:szCs w:val="72"/>
        </w:rPr>
        <w:t>第二部分</w:t>
      </w:r>
    </w:p>
    <w:p>
      <w:pPr>
        <w:jc w:val="center"/>
        <w:rPr>
          <w:sz w:val="72"/>
          <w:szCs w:val="72"/>
        </w:rPr>
      </w:pPr>
    </w:p>
    <w:p>
      <w:pPr>
        <w:jc w:val="center"/>
        <w:rPr>
          <w:sz w:val="72"/>
          <w:szCs w:val="72"/>
        </w:rPr>
      </w:pPr>
      <w:r>
        <w:rPr>
          <w:rFonts w:hint="eastAsia"/>
          <w:sz w:val="72"/>
          <w:szCs w:val="72"/>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5"/>
        <w:tblW w:w="14081" w:type="dxa"/>
        <w:tblInd w:w="93" w:type="dxa"/>
        <w:tblLayout w:type="autofit"/>
        <w:tblCellMar>
          <w:top w:w="0" w:type="dxa"/>
          <w:left w:w="108" w:type="dxa"/>
          <w:bottom w:w="0" w:type="dxa"/>
          <w:right w:w="108" w:type="dxa"/>
        </w:tblCellMar>
      </w:tblPr>
      <w:tblGrid>
        <w:gridCol w:w="4126"/>
        <w:gridCol w:w="449"/>
        <w:gridCol w:w="631"/>
        <w:gridCol w:w="599"/>
        <w:gridCol w:w="98"/>
        <w:gridCol w:w="232"/>
        <w:gridCol w:w="3468"/>
        <w:gridCol w:w="845"/>
        <w:gridCol w:w="1460"/>
        <w:gridCol w:w="657"/>
        <w:gridCol w:w="1516"/>
      </w:tblGrid>
      <w:tr>
        <w:tblPrEx>
          <w:tblCellMar>
            <w:top w:w="0" w:type="dxa"/>
            <w:left w:w="108" w:type="dxa"/>
            <w:bottom w:w="0" w:type="dxa"/>
            <w:right w:w="108" w:type="dxa"/>
          </w:tblCellMar>
        </w:tblPrEx>
        <w:trPr>
          <w:trHeight w:val="360" w:hRule="atLeast"/>
        </w:trPr>
        <w:tc>
          <w:tcPr>
            <w:tcW w:w="1408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收入支出决算总表</w:t>
            </w:r>
          </w:p>
        </w:tc>
      </w:tr>
      <w:tr>
        <w:tblPrEx>
          <w:tblCellMar>
            <w:top w:w="0" w:type="dxa"/>
            <w:left w:w="108" w:type="dxa"/>
            <w:bottom w:w="0" w:type="dxa"/>
            <w:right w:w="108" w:type="dxa"/>
          </w:tblCellMar>
        </w:tblPrEx>
        <w:trPr>
          <w:trHeight w:val="199" w:hRule="atLeast"/>
        </w:trPr>
        <w:tc>
          <w:tcPr>
            <w:tcW w:w="5206"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9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公开01表</w:t>
            </w:r>
          </w:p>
        </w:tc>
      </w:tr>
      <w:tr>
        <w:tblPrEx>
          <w:tblCellMar>
            <w:top w:w="0" w:type="dxa"/>
            <w:left w:w="108" w:type="dxa"/>
            <w:bottom w:w="0" w:type="dxa"/>
            <w:right w:w="108" w:type="dxa"/>
          </w:tblCellMar>
        </w:tblPrEx>
        <w:trPr>
          <w:trHeight w:val="300" w:hRule="atLeast"/>
        </w:trPr>
        <w:tc>
          <w:tcPr>
            <w:tcW w:w="5206" w:type="dxa"/>
            <w:gridSpan w:val="3"/>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ascii="宋体" w:hAnsi="宋体" w:eastAsia="宋体" w:cs="宋体"/>
                <w:color w:val="000000"/>
                <w:kern w:val="0"/>
                <w:sz w:val="20"/>
                <w:szCs w:val="20"/>
              </w:rPr>
              <w:t xml:space="preserve"> </w:t>
            </w:r>
          </w:p>
        </w:tc>
        <w:tc>
          <w:tcPr>
            <w:tcW w:w="69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340" w:hRule="atLeast"/>
        </w:trPr>
        <w:tc>
          <w:tcPr>
            <w:tcW w:w="5805"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8276" w:type="dxa"/>
            <w:gridSpan w:val="7"/>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381.61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四、上级补助收入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五、事业收入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3.2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六、经营收入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七、附属单位上缴收入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七、社会保障和就业支出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462.33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八、其他收入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lang w:eastAsia="zh-CN"/>
              </w:rPr>
            </w:pPr>
            <w:r>
              <w:rPr>
                <w:rFonts w:hint="eastAsia" w:ascii="宋体" w:hAnsi="宋体" w:eastAsia="宋体" w:cs="宋体"/>
                <w:kern w:val="0"/>
                <w:sz w:val="22"/>
                <w:lang w:eastAsia="zh-CN"/>
              </w:rPr>
              <w:t>八、住房保障支出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21</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 xml:space="preserve">                         </w:t>
            </w:r>
            <w:r>
              <w:rPr>
                <w:rFonts w:hint="eastAsia" w:ascii="宋体" w:hAnsi="宋体" w:eastAsia="宋体" w:cs="宋体"/>
                <w:kern w:val="0"/>
                <w:sz w:val="22"/>
              </w:rPr>
              <w:t>　2.61</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22</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384.81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r>
              <w:rPr>
                <w:rFonts w:hint="eastAsia" w:ascii="宋体" w:hAnsi="宋体" w:eastAsia="宋体" w:cs="宋体"/>
                <w:kern w:val="0"/>
                <w:sz w:val="22"/>
                <w:lang w:val="en-US" w:eastAsia="zh-CN"/>
              </w:rPr>
              <w:t xml:space="preserve">                       </w:t>
            </w:r>
            <w:r>
              <w:rPr>
                <w:rFonts w:hint="eastAsia" w:ascii="宋体" w:hAnsi="宋体" w:eastAsia="宋体" w:cs="宋体"/>
                <w:kern w:val="0"/>
                <w:sz w:val="22"/>
              </w:rPr>
              <w:t>464.94</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使用非财政拨款结余</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结余分配</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年初结转和结余</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219.76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年末结转和结余</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r>
              <w:rPr>
                <w:rFonts w:hint="eastAsia" w:ascii="宋体" w:hAnsi="宋体" w:eastAsia="宋体" w:cs="宋体"/>
                <w:kern w:val="0"/>
                <w:sz w:val="22"/>
                <w:lang w:val="en-US" w:eastAsia="zh-CN"/>
              </w:rPr>
              <w:t xml:space="preserve">                       </w:t>
            </w:r>
            <w:r>
              <w:rPr>
                <w:rFonts w:hint="eastAsia" w:ascii="宋体" w:hAnsi="宋体" w:eastAsia="宋体" w:cs="宋体"/>
                <w:kern w:val="0"/>
                <w:sz w:val="22"/>
              </w:rPr>
              <w:t>139.63</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604.57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r>
              <w:rPr>
                <w:rFonts w:hint="eastAsia" w:ascii="宋体" w:hAnsi="宋体" w:eastAsia="宋体" w:cs="宋体"/>
                <w:b/>
                <w:bCs/>
                <w:kern w:val="0"/>
                <w:sz w:val="22"/>
                <w:lang w:val="en-US" w:eastAsia="zh-CN"/>
              </w:rPr>
              <w:t xml:space="preserve">                      </w:t>
            </w:r>
            <w:r>
              <w:rPr>
                <w:rFonts w:hint="eastAsia" w:ascii="宋体" w:hAnsi="宋体" w:eastAsia="宋体" w:cs="宋体"/>
                <w:b/>
                <w:bCs/>
                <w:kern w:val="0"/>
                <w:sz w:val="22"/>
              </w:rPr>
              <w:t>604.57</w:t>
            </w:r>
          </w:p>
        </w:tc>
      </w:tr>
      <w:tr>
        <w:tblPrEx>
          <w:tblCellMar>
            <w:top w:w="0" w:type="dxa"/>
            <w:left w:w="108" w:type="dxa"/>
            <w:bottom w:w="0" w:type="dxa"/>
            <w:right w:w="108" w:type="dxa"/>
          </w:tblCellMar>
        </w:tblPrEx>
        <w:trPr>
          <w:trHeight w:val="1020" w:hRule="atLeast"/>
        </w:trPr>
        <w:tc>
          <w:tcPr>
            <w:tcW w:w="14081"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注：1.本表反映部门本年度的总收支和年末结转结余情况。</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2.本套报表金额单位转换时可能存在尾数误差。</w:t>
            </w:r>
          </w:p>
        </w:tc>
      </w:tr>
    </w:tbl>
    <w:p>
      <w:pPr>
        <w:jc w:val="center"/>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p>
    <w:tbl>
      <w:tblPr>
        <w:tblStyle w:val="5"/>
        <w:tblW w:w="15428" w:type="dxa"/>
        <w:tblInd w:w="0" w:type="dxa"/>
        <w:tblLayout w:type="fixed"/>
        <w:tblCellMar>
          <w:top w:w="0" w:type="dxa"/>
          <w:left w:w="0" w:type="dxa"/>
          <w:bottom w:w="0" w:type="dxa"/>
          <w:right w:w="0" w:type="dxa"/>
        </w:tblCellMar>
      </w:tblPr>
      <w:tblGrid>
        <w:gridCol w:w="63"/>
        <w:gridCol w:w="2233"/>
        <w:gridCol w:w="1662"/>
        <w:gridCol w:w="1836"/>
        <w:gridCol w:w="1836"/>
        <w:gridCol w:w="1836"/>
        <w:gridCol w:w="1836"/>
        <w:gridCol w:w="1836"/>
        <w:gridCol w:w="906"/>
        <w:gridCol w:w="1384"/>
      </w:tblGrid>
      <w:tr>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trHeight w:val="285" w:hRule="atLeast"/>
        </w:trPr>
        <w:tc>
          <w:tcPr>
            <w:tcW w:w="63"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233"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62"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3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3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3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3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3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90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8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trHeight w:val="285" w:hRule="atLeast"/>
        </w:trPr>
        <w:tc>
          <w:tcPr>
            <w:tcW w:w="3958"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rPr>
                <w:rFonts w:hint="eastAsia" w:ascii="宋体" w:hAnsi="宋体" w:cs="宋体" w:eastAsiaTheme="minorEastAsia"/>
                <w:color w:val="000000"/>
                <w:sz w:val="20"/>
                <w:szCs w:val="20"/>
                <w:lang w:val="en-US" w:eastAsia="zh-CN"/>
              </w:rPr>
            </w:pPr>
            <w:r>
              <w:rPr>
                <w:rFonts w:hint="eastAsia"/>
                <w:color w:val="000000"/>
                <w:sz w:val="20"/>
                <w:szCs w:val="20"/>
              </w:rPr>
              <w:t>部门：</w:t>
            </w:r>
            <w:r>
              <w:rPr>
                <w:rFonts w:hint="eastAsia"/>
                <w:color w:val="000000"/>
                <w:sz w:val="20"/>
                <w:szCs w:val="20"/>
                <w:lang w:eastAsia="zh-CN"/>
              </w:rPr>
              <w:t>沅江市烈士陵园服务中心</w:t>
            </w:r>
          </w:p>
          <w:p>
            <w:pPr>
              <w:jc w:val="right"/>
              <w:rPr>
                <w:rFonts w:ascii="宋体" w:hAnsi="宋体" w:eastAsia="宋体" w:cs="宋体"/>
                <w:sz w:val="24"/>
                <w:szCs w:val="24"/>
              </w:rPr>
            </w:pPr>
            <w:r>
              <w:rPr>
                <w:rFonts w:hint="eastAsia"/>
              </w:rPr>
              <w:t>　</w:t>
            </w:r>
          </w:p>
        </w:tc>
        <w:tc>
          <w:tcPr>
            <w:tcW w:w="183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3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36" w:type="dxa"/>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183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3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90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8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trHeight w:val="450" w:hRule="atLeast"/>
        </w:trPr>
        <w:tc>
          <w:tcPr>
            <w:tcW w:w="3958"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183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83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183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183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183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90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138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trHeight w:val="450" w:hRule="atLeast"/>
        </w:trPr>
        <w:tc>
          <w:tcPr>
            <w:tcW w:w="2296"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1662"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183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3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3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3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3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90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38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2296"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62"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3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3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3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3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3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90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38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395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183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183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183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183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183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90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138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blPrEx>
          <w:tblCellMar>
            <w:top w:w="0" w:type="dxa"/>
            <w:left w:w="0" w:type="dxa"/>
            <w:bottom w:w="0" w:type="dxa"/>
            <w:right w:w="0" w:type="dxa"/>
          </w:tblCellMar>
        </w:tblPrEx>
        <w:trPr>
          <w:trHeight w:val="450" w:hRule="atLeast"/>
        </w:trPr>
        <w:tc>
          <w:tcPr>
            <w:tcW w:w="395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合计</w:t>
            </w:r>
          </w:p>
        </w:tc>
        <w:tc>
          <w:tcPr>
            <w:tcW w:w="18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384.81</w:t>
            </w:r>
          </w:p>
        </w:tc>
        <w:tc>
          <w:tcPr>
            <w:tcW w:w="18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381.61</w:t>
            </w:r>
          </w:p>
        </w:tc>
        <w:tc>
          <w:tcPr>
            <w:tcW w:w="18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8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3.20</w:t>
            </w:r>
          </w:p>
        </w:tc>
        <w:tc>
          <w:tcPr>
            <w:tcW w:w="18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9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229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208</w:t>
            </w:r>
          </w:p>
        </w:tc>
        <w:tc>
          <w:tcPr>
            <w:tcW w:w="166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8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382.21</w:t>
            </w:r>
          </w:p>
        </w:tc>
        <w:tc>
          <w:tcPr>
            <w:tcW w:w="18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379.01</w:t>
            </w:r>
          </w:p>
        </w:tc>
        <w:tc>
          <w:tcPr>
            <w:tcW w:w="18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8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3.20</w:t>
            </w:r>
          </w:p>
        </w:tc>
        <w:tc>
          <w:tcPr>
            <w:tcW w:w="18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p>
        </w:tc>
        <w:tc>
          <w:tcPr>
            <w:tcW w:w="9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229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20802</w:t>
            </w:r>
          </w:p>
        </w:tc>
        <w:tc>
          <w:tcPr>
            <w:tcW w:w="166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民政管理事务</w:t>
            </w:r>
          </w:p>
        </w:tc>
        <w:tc>
          <w:tcPr>
            <w:tcW w:w="18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华文中宋" w:hAnsi="华文中宋" w:eastAsia="华文中宋" w:cs="宋体"/>
                <w:sz w:val="24"/>
                <w:szCs w:val="24"/>
              </w:rPr>
            </w:pPr>
            <w:r>
              <w:rPr>
                <w:rFonts w:hint="eastAsia" w:ascii="宋体" w:hAnsi="宋体" w:eastAsia="宋体" w:cs="宋体"/>
                <w:i w:val="0"/>
                <w:iCs w:val="0"/>
                <w:color w:val="000000"/>
                <w:kern w:val="0"/>
                <w:sz w:val="22"/>
                <w:szCs w:val="22"/>
                <w:u w:val="none"/>
                <w:lang w:val="en-US" w:eastAsia="zh-CN" w:bidi="ar"/>
              </w:rPr>
              <w:t>74.71</w:t>
            </w:r>
          </w:p>
        </w:tc>
        <w:tc>
          <w:tcPr>
            <w:tcW w:w="18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71.51</w:t>
            </w:r>
          </w:p>
        </w:tc>
        <w:tc>
          <w:tcPr>
            <w:tcW w:w="18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8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3.20</w:t>
            </w:r>
          </w:p>
        </w:tc>
        <w:tc>
          <w:tcPr>
            <w:tcW w:w="18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p>
        </w:tc>
        <w:tc>
          <w:tcPr>
            <w:tcW w:w="9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229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2080201</w:t>
            </w:r>
          </w:p>
        </w:tc>
        <w:tc>
          <w:tcPr>
            <w:tcW w:w="166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8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74.71</w:t>
            </w:r>
          </w:p>
        </w:tc>
        <w:tc>
          <w:tcPr>
            <w:tcW w:w="18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71.51</w:t>
            </w:r>
          </w:p>
        </w:tc>
        <w:tc>
          <w:tcPr>
            <w:tcW w:w="18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8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3.20</w:t>
            </w:r>
          </w:p>
        </w:tc>
        <w:tc>
          <w:tcPr>
            <w:tcW w:w="18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9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3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229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20808</w:t>
            </w:r>
          </w:p>
        </w:tc>
        <w:tc>
          <w:tcPr>
            <w:tcW w:w="166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抚恤</w:t>
            </w:r>
          </w:p>
        </w:tc>
        <w:tc>
          <w:tcPr>
            <w:tcW w:w="18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w:t>
            </w:r>
          </w:p>
        </w:tc>
        <w:tc>
          <w:tcPr>
            <w:tcW w:w="18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w:t>
            </w:r>
          </w:p>
        </w:tc>
        <w:tc>
          <w:tcPr>
            <w:tcW w:w="18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8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i w:val="0"/>
                <w:iCs w:val="0"/>
                <w:color w:val="000000"/>
                <w:kern w:val="0"/>
                <w:sz w:val="22"/>
                <w:szCs w:val="22"/>
                <w:u w:val="none"/>
                <w:lang w:val="en-US" w:eastAsia="zh-CN" w:bidi="ar"/>
              </w:rPr>
            </w:pPr>
          </w:p>
        </w:tc>
        <w:tc>
          <w:tcPr>
            <w:tcW w:w="18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9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3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229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2080899</w:t>
            </w:r>
          </w:p>
        </w:tc>
        <w:tc>
          <w:tcPr>
            <w:tcW w:w="166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其他优抚支出</w:t>
            </w:r>
          </w:p>
        </w:tc>
        <w:tc>
          <w:tcPr>
            <w:tcW w:w="18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w:t>
            </w:r>
          </w:p>
        </w:tc>
        <w:tc>
          <w:tcPr>
            <w:tcW w:w="18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w:t>
            </w:r>
          </w:p>
        </w:tc>
        <w:tc>
          <w:tcPr>
            <w:tcW w:w="18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8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i w:val="0"/>
                <w:iCs w:val="0"/>
                <w:color w:val="000000"/>
                <w:kern w:val="0"/>
                <w:sz w:val="22"/>
                <w:szCs w:val="22"/>
                <w:u w:val="none"/>
                <w:lang w:val="en-US" w:eastAsia="zh-CN" w:bidi="ar"/>
              </w:rPr>
            </w:pPr>
          </w:p>
        </w:tc>
        <w:tc>
          <w:tcPr>
            <w:tcW w:w="18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9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3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229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20810</w:t>
            </w:r>
          </w:p>
        </w:tc>
        <w:tc>
          <w:tcPr>
            <w:tcW w:w="166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社会福利</w:t>
            </w:r>
          </w:p>
        </w:tc>
        <w:tc>
          <w:tcPr>
            <w:tcW w:w="18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306.00</w:t>
            </w:r>
          </w:p>
        </w:tc>
        <w:tc>
          <w:tcPr>
            <w:tcW w:w="18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306.00</w:t>
            </w:r>
          </w:p>
        </w:tc>
        <w:tc>
          <w:tcPr>
            <w:tcW w:w="18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8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i w:val="0"/>
                <w:iCs w:val="0"/>
                <w:color w:val="000000"/>
                <w:kern w:val="0"/>
                <w:sz w:val="22"/>
                <w:szCs w:val="22"/>
                <w:u w:val="none"/>
                <w:lang w:val="en-US" w:eastAsia="zh-CN" w:bidi="ar"/>
              </w:rPr>
            </w:pPr>
          </w:p>
        </w:tc>
        <w:tc>
          <w:tcPr>
            <w:tcW w:w="18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9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3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229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2081004</w:t>
            </w:r>
          </w:p>
        </w:tc>
        <w:tc>
          <w:tcPr>
            <w:tcW w:w="166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 xml:space="preserve">  殡葬</w:t>
            </w:r>
          </w:p>
        </w:tc>
        <w:tc>
          <w:tcPr>
            <w:tcW w:w="18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306.00</w:t>
            </w:r>
          </w:p>
        </w:tc>
        <w:tc>
          <w:tcPr>
            <w:tcW w:w="18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306.00</w:t>
            </w:r>
          </w:p>
        </w:tc>
        <w:tc>
          <w:tcPr>
            <w:tcW w:w="18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8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8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p>
        </w:tc>
        <w:tc>
          <w:tcPr>
            <w:tcW w:w="9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229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221</w:t>
            </w:r>
          </w:p>
        </w:tc>
        <w:tc>
          <w:tcPr>
            <w:tcW w:w="166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住房保障支出</w:t>
            </w:r>
          </w:p>
        </w:tc>
        <w:tc>
          <w:tcPr>
            <w:tcW w:w="18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2.61</w:t>
            </w:r>
          </w:p>
        </w:tc>
        <w:tc>
          <w:tcPr>
            <w:tcW w:w="18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2.61</w:t>
            </w:r>
          </w:p>
        </w:tc>
        <w:tc>
          <w:tcPr>
            <w:tcW w:w="18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8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8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p>
        </w:tc>
        <w:tc>
          <w:tcPr>
            <w:tcW w:w="9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229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22102</w:t>
            </w:r>
          </w:p>
        </w:tc>
        <w:tc>
          <w:tcPr>
            <w:tcW w:w="166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住房改革支出</w:t>
            </w:r>
          </w:p>
        </w:tc>
        <w:tc>
          <w:tcPr>
            <w:tcW w:w="18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2.61</w:t>
            </w:r>
          </w:p>
        </w:tc>
        <w:tc>
          <w:tcPr>
            <w:tcW w:w="18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2.61</w:t>
            </w:r>
          </w:p>
        </w:tc>
        <w:tc>
          <w:tcPr>
            <w:tcW w:w="18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8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8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p>
        </w:tc>
        <w:tc>
          <w:tcPr>
            <w:tcW w:w="9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229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2210201</w:t>
            </w:r>
          </w:p>
        </w:tc>
        <w:tc>
          <w:tcPr>
            <w:tcW w:w="166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8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2.61</w:t>
            </w:r>
          </w:p>
        </w:tc>
        <w:tc>
          <w:tcPr>
            <w:tcW w:w="18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2.61</w:t>
            </w:r>
          </w:p>
        </w:tc>
        <w:tc>
          <w:tcPr>
            <w:tcW w:w="18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8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8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p>
        </w:tc>
        <w:tc>
          <w:tcPr>
            <w:tcW w:w="9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bl>
    <w:p>
      <w:pPr>
        <w:widowControl/>
        <w:jc w:val="left"/>
        <w:rPr>
          <w:rFonts w:ascii="Times New Roman" w:hAnsi="Times New Roman" w:eastAsia="方正小标宋_GBK" w:cs="Times New Roman"/>
          <w:color w:val="000000"/>
          <w:kern w:val="0"/>
          <w:sz w:val="36"/>
          <w:szCs w:val="36"/>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tbl>
      <w:tblPr>
        <w:tblStyle w:val="5"/>
        <w:tblW w:w="13183" w:type="dxa"/>
        <w:tblInd w:w="91" w:type="dxa"/>
        <w:tblLayout w:type="autofit"/>
        <w:tblCellMar>
          <w:top w:w="0" w:type="dxa"/>
          <w:left w:w="108" w:type="dxa"/>
          <w:bottom w:w="0" w:type="dxa"/>
          <w:right w:w="108" w:type="dxa"/>
        </w:tblCellMar>
      </w:tblPr>
      <w:tblGrid>
        <w:gridCol w:w="1042"/>
        <w:gridCol w:w="222"/>
        <w:gridCol w:w="1249"/>
        <w:gridCol w:w="1646"/>
        <w:gridCol w:w="1679"/>
        <w:gridCol w:w="1679"/>
        <w:gridCol w:w="1679"/>
        <w:gridCol w:w="1679"/>
        <w:gridCol w:w="2308"/>
      </w:tblGrid>
      <w:tr>
        <w:tblPrEx>
          <w:tblCellMar>
            <w:top w:w="0" w:type="dxa"/>
            <w:left w:w="108" w:type="dxa"/>
            <w:bottom w:w="0" w:type="dxa"/>
            <w:right w:w="108" w:type="dxa"/>
          </w:tblCellMar>
        </w:tblPrEx>
        <w:trPr>
          <w:trHeight w:val="435" w:hRule="atLeast"/>
        </w:trPr>
        <w:tc>
          <w:tcPr>
            <w:tcW w:w="13183" w:type="dxa"/>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trHeight w:val="285" w:hRule="atLeast"/>
        </w:trPr>
        <w:tc>
          <w:tcPr>
            <w:tcW w:w="104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4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4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trHeight w:val="285" w:hRule="atLeast"/>
        </w:trPr>
        <w:tc>
          <w:tcPr>
            <w:tcW w:w="5838" w:type="dxa"/>
            <w:gridSpan w:val="5"/>
            <w:tcBorders>
              <w:top w:val="nil"/>
              <w:left w:val="nil"/>
              <w:bottom w:val="nil"/>
              <w:right w:val="nil"/>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部门：</w:t>
            </w:r>
            <w:r>
              <w:rPr>
                <w:rFonts w:hint="eastAsia"/>
                <w:color w:val="000000"/>
                <w:sz w:val="20"/>
                <w:szCs w:val="20"/>
                <w:lang w:eastAsia="zh-CN"/>
              </w:rPr>
              <w:t>沅江市烈士陵园服务中心</w:t>
            </w: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356" w:hRule="atLeast"/>
        </w:trPr>
        <w:tc>
          <w:tcPr>
            <w:tcW w:w="2513"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64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30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trHeight w:val="450" w:hRule="atLeast"/>
        </w:trPr>
        <w:tc>
          <w:tcPr>
            <w:tcW w:w="1264"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249"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6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3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312" w:hRule="atLeast"/>
        </w:trPr>
        <w:tc>
          <w:tcPr>
            <w:tcW w:w="126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2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3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79" w:hRule="atLeast"/>
        </w:trPr>
        <w:tc>
          <w:tcPr>
            <w:tcW w:w="2513"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64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67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67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67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67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308"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trHeight w:val="79" w:hRule="atLeast"/>
        </w:trPr>
        <w:tc>
          <w:tcPr>
            <w:tcW w:w="2513"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9"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462.33</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77.32</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385.01</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9"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20802</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民政管理事务</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75.82</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75.82</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20802</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79"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2080201</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75.82</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75.82</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2080201</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79"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20808</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抚恤</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1.50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1.50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20808</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79"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2080899</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其他优抚支出</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1.50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1.50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2080899</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9"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20810</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社会福利</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385.01</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385.01</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20810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79"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2081004</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殡葬</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336.64</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336.64</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2081004</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79"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2081005</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社会福利事业单位</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48.37</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48.37</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2081005</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9"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221</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住房保障支出</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2.61</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2.61</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221</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9"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22102</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住房改革支出</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2.61</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2.61</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22102</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9"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2210201</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2.61</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2.61</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2210201</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630" w:hRule="atLeast"/>
        </w:trPr>
        <w:tc>
          <w:tcPr>
            <w:tcW w:w="13183" w:type="dxa"/>
            <w:gridSpan w:val="9"/>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pPr>
        <w:widowControl/>
        <w:jc w:val="both"/>
        <w:rPr>
          <w:rFonts w:ascii="Times New Roman" w:hAnsi="Times New Roman" w:eastAsia="方正小标宋_GBK" w:cs="Times New Roman"/>
          <w:color w:val="000000"/>
          <w:kern w:val="0"/>
          <w:sz w:val="36"/>
          <w:szCs w:val="21"/>
        </w:rPr>
      </w:pPr>
    </w:p>
    <w:tbl>
      <w:tblPr>
        <w:tblStyle w:val="5"/>
        <w:tblW w:w="15521" w:type="dxa"/>
        <w:tblInd w:w="93" w:type="dxa"/>
        <w:tblLayout w:type="autofit"/>
        <w:tblCellMar>
          <w:top w:w="0" w:type="dxa"/>
          <w:left w:w="108" w:type="dxa"/>
          <w:bottom w:w="0" w:type="dxa"/>
          <w:right w:w="108" w:type="dxa"/>
        </w:tblCellMar>
      </w:tblPr>
      <w:tblGrid>
        <w:gridCol w:w="3595"/>
        <w:gridCol w:w="436"/>
        <w:gridCol w:w="1078"/>
        <w:gridCol w:w="3411"/>
        <w:gridCol w:w="632"/>
        <w:gridCol w:w="435"/>
        <w:gridCol w:w="1573"/>
        <w:gridCol w:w="1394"/>
        <w:gridCol w:w="1394"/>
        <w:gridCol w:w="1573"/>
      </w:tblGrid>
      <w:tr>
        <w:tblPrEx>
          <w:tblCellMar>
            <w:top w:w="0" w:type="dxa"/>
            <w:left w:w="108" w:type="dxa"/>
            <w:bottom w:w="0" w:type="dxa"/>
            <w:right w:w="108" w:type="dxa"/>
          </w:tblCellMar>
        </w:tblPrEx>
        <w:trPr>
          <w:trHeight w:val="360" w:hRule="atLeast"/>
        </w:trPr>
        <w:tc>
          <w:tcPr>
            <w:tcW w:w="15521" w:type="dxa"/>
            <w:gridSpan w:val="10"/>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bookmarkStart w:id="0" w:name="RANGE!A1:I22"/>
            <w:bookmarkEnd w:id="0"/>
            <w:bookmarkStart w:id="1" w:name="RANGE!A1:F16"/>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hint="eastAsia"/>
                <w:color w:val="000000"/>
                <w:sz w:val="20"/>
                <w:szCs w:val="20"/>
                <w:lang w:eastAsia="zh-CN"/>
              </w:rPr>
              <w:t>沅江市烈士陵园服务中心</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7"/>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381.61</w:t>
            </w:r>
          </w:p>
        </w:tc>
        <w:tc>
          <w:tcPr>
            <w:tcW w:w="34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七、</w:t>
            </w:r>
            <w:r>
              <w:rPr>
                <w:rFonts w:hint="eastAsia" w:ascii="宋体" w:hAnsi="宋体" w:eastAsia="宋体" w:cs="宋体"/>
                <w:kern w:val="0"/>
                <w:sz w:val="24"/>
                <w:szCs w:val="24"/>
              </w:rPr>
              <w:t>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430.54</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430.54</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lang w:eastAsia="zh-CN"/>
              </w:rPr>
              <w:t>八、</w:t>
            </w:r>
            <w:r>
              <w:rPr>
                <w:rFonts w:hint="eastAsia" w:ascii="宋体" w:hAnsi="宋体" w:eastAsia="宋体" w:cs="宋体"/>
                <w:kern w:val="0"/>
                <w:sz w:val="22"/>
              </w:rPr>
              <w:t>住房保障支出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2.61</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2.61</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381.61</w:t>
            </w:r>
          </w:p>
        </w:tc>
        <w:tc>
          <w:tcPr>
            <w:tcW w:w="34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433.14</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433.14</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51.53</w:t>
            </w:r>
          </w:p>
        </w:tc>
        <w:tc>
          <w:tcPr>
            <w:tcW w:w="34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51.53</w:t>
            </w:r>
          </w:p>
        </w:tc>
        <w:tc>
          <w:tcPr>
            <w:tcW w:w="34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433.14</w:t>
            </w:r>
          </w:p>
        </w:tc>
        <w:tc>
          <w:tcPr>
            <w:tcW w:w="341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433.14</w:t>
            </w:r>
          </w:p>
        </w:tc>
        <w:tc>
          <w:tcPr>
            <w:tcW w:w="139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433.14</w:t>
            </w:r>
          </w:p>
        </w:tc>
        <w:tc>
          <w:tcPr>
            <w:tcW w:w="139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585" w:hRule="atLeast"/>
        </w:trPr>
        <w:tc>
          <w:tcPr>
            <w:tcW w:w="15521" w:type="dxa"/>
            <w:gridSpan w:val="10"/>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ind w:firstLine="4320" w:firstLineChars="1200"/>
        <w:jc w:val="both"/>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color w:val="000000"/>
          <w:sz w:val="20"/>
          <w:szCs w:val="20"/>
          <w:lang w:eastAsia="zh-CN"/>
        </w:rPr>
        <w:t>沅江市烈士陵园服务中心</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5"/>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108"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108"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433.14</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75.61</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357.53</w:t>
            </w:r>
          </w:p>
        </w:tc>
      </w:tr>
      <w:tr>
        <w:tblPrEx>
          <w:tblCellMar>
            <w:top w:w="0" w:type="dxa"/>
            <w:left w:w="108" w:type="dxa"/>
            <w:bottom w:w="0" w:type="dxa"/>
            <w:right w:w="108" w:type="dxa"/>
          </w:tblCellMar>
        </w:tblPrEx>
        <w:trPr>
          <w:trHeight w:val="108"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430.54</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73.01</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357.53</w:t>
            </w:r>
          </w:p>
        </w:tc>
      </w:tr>
      <w:tr>
        <w:tblPrEx>
          <w:tblCellMar>
            <w:top w:w="0" w:type="dxa"/>
            <w:left w:w="108" w:type="dxa"/>
            <w:bottom w:w="0" w:type="dxa"/>
            <w:right w:w="108" w:type="dxa"/>
          </w:tblCellMar>
        </w:tblPrEx>
        <w:trPr>
          <w:trHeight w:val="108"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20802</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民政管理事务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71.51</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71.51</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108"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2080201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71.51</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71.51</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108"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20808</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抚恤</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1.50</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108"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2080899</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其他优抚支出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1.50</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108"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20810</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社会福利</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357.53</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357.53</w:t>
            </w:r>
          </w:p>
        </w:tc>
      </w:tr>
      <w:tr>
        <w:tblPrEx>
          <w:tblCellMar>
            <w:top w:w="0" w:type="dxa"/>
            <w:left w:w="108" w:type="dxa"/>
            <w:bottom w:w="0" w:type="dxa"/>
            <w:right w:w="108" w:type="dxa"/>
          </w:tblCellMar>
        </w:tblPrEx>
        <w:trPr>
          <w:trHeight w:val="108"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2081004</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殡葬</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336.64</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336.64</w:t>
            </w:r>
          </w:p>
        </w:tc>
      </w:tr>
      <w:tr>
        <w:tblPrEx>
          <w:tblCellMar>
            <w:top w:w="0" w:type="dxa"/>
            <w:left w:w="108" w:type="dxa"/>
            <w:bottom w:w="0" w:type="dxa"/>
            <w:right w:w="108" w:type="dxa"/>
          </w:tblCellMar>
        </w:tblPrEx>
        <w:trPr>
          <w:trHeight w:val="108"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2081005</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社会福利事业单位</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20.89</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20.89</w:t>
            </w:r>
          </w:p>
        </w:tc>
      </w:tr>
      <w:tr>
        <w:tblPrEx>
          <w:tblCellMar>
            <w:top w:w="0" w:type="dxa"/>
            <w:left w:w="108" w:type="dxa"/>
            <w:bottom w:w="0" w:type="dxa"/>
            <w:right w:w="108" w:type="dxa"/>
          </w:tblCellMar>
        </w:tblPrEx>
        <w:trPr>
          <w:trHeight w:val="108"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住房保障支出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2.61</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2.61</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108"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22102</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住房改革支出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2.61</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2.61</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108"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2210201</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2.61</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2.61</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5"/>
        <w:tblW w:w="0" w:type="auto"/>
        <w:tblInd w:w="0" w:type="dxa"/>
        <w:tblLayout w:type="autofit"/>
        <w:tblCellMar>
          <w:top w:w="0" w:type="dxa"/>
          <w:left w:w="108" w:type="dxa"/>
          <w:bottom w:w="0" w:type="dxa"/>
          <w:right w:w="108" w:type="dxa"/>
        </w:tblCellMar>
      </w:tblPr>
      <w:tblGrid>
        <w:gridCol w:w="1299"/>
        <w:gridCol w:w="3227"/>
        <w:gridCol w:w="756"/>
        <w:gridCol w:w="1282"/>
        <w:gridCol w:w="2229"/>
        <w:gridCol w:w="756"/>
        <w:gridCol w:w="1282"/>
        <w:gridCol w:w="4026"/>
        <w:gridCol w:w="757"/>
      </w:tblGrid>
      <w:tr>
        <w:tblPrEx>
          <w:tblCellMar>
            <w:top w:w="0" w:type="dxa"/>
            <w:left w:w="108" w:type="dxa"/>
            <w:bottom w:w="0" w:type="dxa"/>
            <w:right w:w="108" w:type="dxa"/>
          </w:tblCellMar>
        </w:tblPrEx>
        <w:trPr>
          <w:trHeight w:val="113" w:hRule="atLeast"/>
        </w:trPr>
        <w:tc>
          <w:tcPr>
            <w:tcW w:w="0" w:type="auto"/>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color w:val="000000"/>
                <w:sz w:val="20"/>
                <w:szCs w:val="20"/>
                <w:lang w:eastAsia="zh-CN"/>
              </w:rPr>
              <w:t>沅江市烈士陵园服务中心</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tblPrEx>
          <w:tblCellMar>
            <w:top w:w="0" w:type="dxa"/>
            <w:left w:w="108" w:type="dxa"/>
            <w:bottom w:w="0" w:type="dxa"/>
            <w:right w:w="108" w:type="dxa"/>
          </w:tblCellMar>
        </w:tblPrEx>
        <w:trPr>
          <w:trHeight w:val="113" w:hRule="atLeast"/>
        </w:trPr>
        <w:tc>
          <w:tcPr>
            <w:tcW w:w="13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36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36.90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36.82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0.88</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9.22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2.18</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8.49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0.88</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0.15</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4.29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1.91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9.92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1.92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0.92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2.96</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0.96</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1.92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2.61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13.26</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0.68</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1.02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1.02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39906</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赠与</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1.67</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39907</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国家赔偿费用支出</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39908</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对民间非营利组织和群众性自治组织补贴</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39999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其他支出</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37.70</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6.32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0.88</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4.33</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37.92</w:t>
            </w:r>
          </w:p>
        </w:tc>
        <w:tc>
          <w:tcPr>
            <w:tcW w:w="0" w:type="auto"/>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18"/>
              </w:rPr>
            </w:pPr>
            <w:r>
              <w:rPr>
                <w:rFonts w:hint="eastAsia" w:ascii="宋体" w:hAnsi="宋体" w:eastAsia="宋体" w:cs="宋体"/>
                <w:i w:val="0"/>
                <w:iCs w:val="0"/>
                <w:color w:val="000000"/>
                <w:kern w:val="0"/>
                <w:sz w:val="22"/>
                <w:szCs w:val="22"/>
                <w:u w:val="none"/>
                <w:lang w:val="en-US" w:eastAsia="zh-CN" w:bidi="ar"/>
              </w:rPr>
              <w:t>0.88</w:t>
            </w:r>
          </w:p>
        </w:tc>
      </w:tr>
      <w:tr>
        <w:tblPrEx>
          <w:tblCellMar>
            <w:top w:w="0" w:type="dxa"/>
            <w:left w:w="108" w:type="dxa"/>
            <w:bottom w:w="0" w:type="dxa"/>
            <w:right w:w="108" w:type="dxa"/>
          </w:tblCellMar>
        </w:tblPrEx>
        <w:trPr>
          <w:trHeight w:val="284" w:hRule="exact"/>
        </w:trPr>
        <w:tc>
          <w:tcPr>
            <w:tcW w:w="0" w:type="auto"/>
            <w:gridSpan w:val="9"/>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bl>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color w:val="000000"/>
          <w:sz w:val="20"/>
          <w:szCs w:val="20"/>
          <w:lang w:eastAsia="zh-CN"/>
        </w:rPr>
        <w:t>沅江市烈士陵园服务中心</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宋体" w:eastAsia="宋体" w:cs="宋体"/>
          <w:kern w:val="0"/>
          <w:sz w:val="24"/>
          <w:szCs w:val="24"/>
        </w:rPr>
        <w:br w:type="page"/>
      </w:r>
    </w:p>
    <w:p>
      <w:pPr>
        <w:autoSpaceDE w:val="0"/>
        <w:autoSpaceDN w:val="0"/>
        <w:adjustRightInd w:val="0"/>
        <w:ind w:left="315" w:leftChars="150"/>
        <w:jc w:val="left"/>
        <w:rPr>
          <w:rFonts w:ascii="宋体" w:eastAsia="宋体" w:cs="宋体"/>
          <w:kern w:val="0"/>
          <w:sz w:val="24"/>
          <w:szCs w:val="24"/>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color w:val="000000"/>
          <w:sz w:val="20"/>
          <w:szCs w:val="20"/>
          <w:lang w:eastAsia="zh-CN"/>
        </w:rPr>
        <w:t>沅江市烈士陵园服务中心</w:t>
      </w:r>
      <w:r>
        <w:rPr>
          <w:rFonts w:ascii="Times New Roman" w:hAnsi="Times New Roman" w:eastAsia="仿宋_GB2312" w:cs="Times New Roman"/>
          <w:color w:val="000000"/>
          <w:kern w:val="0"/>
          <w:szCs w:val="21"/>
        </w:rPr>
        <w:t xml:space="preserve">                                                                                                                       公开08表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(若本单位无政府性基金收支</w:t>
      </w:r>
      <w:r>
        <w:rPr>
          <w:rFonts w:hint="eastAsia" w:ascii="Times New Roman" w:hAnsi="Times New Roman" w:eastAsia="仿宋_GB2312" w:cs="Times New Roman"/>
          <w:kern w:val="0"/>
          <w:szCs w:val="21"/>
        </w:rPr>
        <w:t>,请说明：XX单位没有政府性基金收入，也没有使用政府性基金安排的支出，故本表无数据</w:t>
      </w:r>
      <w:r>
        <w:rPr>
          <w:rFonts w:ascii="Times New Roman" w:hAnsi="Times New Roman" w:eastAsia="仿宋_GB2312" w:cs="Times New Roman"/>
          <w:kern w:val="0"/>
          <w:szCs w:val="21"/>
        </w:rPr>
        <w:t>)。</w:t>
      </w:r>
    </w:p>
    <w:p>
      <w:pPr>
        <w:widowControl/>
        <w:jc w:val="left"/>
        <w:rPr>
          <w:rFonts w:ascii="黑体" w:hAnsi="黑体" w:eastAsia="黑体"/>
          <w:szCs w:val="21"/>
        </w:rPr>
      </w:pPr>
      <w:r>
        <w:rPr>
          <w:rFonts w:ascii="黑体" w:hAnsi="黑体" w:eastAsia="黑体"/>
          <w:szCs w:val="21"/>
        </w:rPr>
        <w:br w:type="page"/>
      </w:r>
    </w:p>
    <w:tbl>
      <w:tblPr>
        <w:tblStyle w:val="5"/>
        <w:tblW w:w="14190" w:type="dxa"/>
        <w:tblInd w:w="93" w:type="dxa"/>
        <w:tblLayout w:type="autofit"/>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tblPrEx>
          <w:tblCellMar>
            <w:top w:w="0" w:type="dxa"/>
            <w:left w:w="108" w:type="dxa"/>
            <w:bottom w:w="0" w:type="dxa"/>
            <w:right w:w="108" w:type="dxa"/>
          </w:tblCellMar>
        </w:tblPrEx>
        <w:trPr>
          <w:trHeight w:val="285" w:hRule="atLeast"/>
        </w:trPr>
        <w:tc>
          <w:tcPr>
            <w:tcW w:w="4835" w:type="dxa"/>
            <w:gridSpan w:val="4"/>
            <w:tcBorders>
              <w:top w:val="nil"/>
              <w:left w:val="nil"/>
              <w:bottom w:val="nil"/>
              <w:right w:val="nil"/>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color w:val="000000"/>
                <w:kern w:val="0"/>
                <w:sz w:val="20"/>
                <w:szCs w:val="20"/>
              </w:rPr>
              <w:t>部门：</w:t>
            </w:r>
            <w:r>
              <w:rPr>
                <w:rFonts w:hint="eastAsia"/>
                <w:color w:val="000000"/>
                <w:sz w:val="20"/>
                <w:szCs w:val="20"/>
                <w:lang w:eastAsia="zh-CN"/>
              </w:rPr>
              <w:t>沅江市烈士陵园服务中心</w:t>
            </w:r>
            <w:r>
              <w:rPr>
                <w:rFonts w:hint="eastAsia" w:ascii="宋体" w:hAnsi="宋体" w:eastAsia="宋体" w:cs="宋体"/>
                <w:kern w:val="0"/>
                <w:sz w:val="20"/>
                <w:szCs w:val="20"/>
              </w:rPr>
              <w:t>　</w:t>
            </w:r>
          </w:p>
        </w:tc>
        <w:tc>
          <w:tcPr>
            <w:tcW w:w="1225" w:type="dxa"/>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项 </w:t>
            </w:r>
            <w:r>
              <w:rPr>
                <w:rFonts w:hint="eastAsia" w:ascii="宋体" w:hAnsi="宋体" w:eastAsia="宋体" w:cs="宋体"/>
                <w:color w:val="000000"/>
                <w:kern w:val="0"/>
                <w:sz w:val="22"/>
              </w:rPr>
              <w:t xml:space="preserve">   </w:t>
            </w:r>
            <w:r>
              <w:rPr>
                <w:rFonts w:hint="eastAsia" w:ascii="宋体" w:hAnsi="宋体" w:eastAsia="宋体" w:cs="宋体"/>
                <w:kern w:val="0"/>
                <w:sz w:val="24"/>
                <w:szCs w:val="24"/>
              </w:rPr>
              <w:t>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r>
      <w:tr>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注：本表反映部门本年度国有资本经营预算财政拨款支出情况。</w:t>
            </w:r>
          </w:p>
        </w:tc>
      </w:tr>
    </w:tbl>
    <w:p>
      <w:pPr>
        <w:pStyle w:val="9"/>
        <w:rPr>
          <w:sz w:val="72"/>
          <w:szCs w:val="72"/>
        </w:rPr>
        <w:sectPr>
          <w:pgSz w:w="16838" w:h="11906" w:orient="landscape"/>
          <w:pgMar w:top="720" w:right="720" w:bottom="720" w:left="720" w:header="851" w:footer="992" w:gutter="0"/>
          <w:cols w:space="425" w:num="1"/>
          <w:docGrid w:type="lines" w:linePitch="312" w:charSpace="0"/>
        </w:sectPr>
      </w:pPr>
    </w:p>
    <w:p>
      <w:pPr>
        <w:pStyle w:val="9"/>
        <w:rPr>
          <w:sz w:val="72"/>
          <w:szCs w:val="72"/>
        </w:rPr>
      </w:pPr>
    </w:p>
    <w:p>
      <w:pPr>
        <w:pStyle w:val="9"/>
        <w:rPr>
          <w:sz w:val="72"/>
          <w:szCs w:val="72"/>
        </w:rPr>
      </w:pPr>
    </w:p>
    <w:p>
      <w:pPr>
        <w:pStyle w:val="9"/>
        <w:rPr>
          <w:sz w:val="72"/>
          <w:szCs w:val="72"/>
        </w:rPr>
      </w:pPr>
    </w:p>
    <w:p>
      <w:pPr>
        <w:pStyle w:val="9"/>
        <w:rPr>
          <w:sz w:val="72"/>
          <w:szCs w:val="72"/>
        </w:rPr>
      </w:pPr>
    </w:p>
    <w:p>
      <w:pPr>
        <w:pStyle w:val="9"/>
        <w:jc w:val="center"/>
        <w:rPr>
          <w:sz w:val="72"/>
          <w:szCs w:val="72"/>
        </w:rPr>
      </w:pPr>
    </w:p>
    <w:p>
      <w:pPr>
        <w:pStyle w:val="9"/>
        <w:jc w:val="center"/>
        <w:rPr>
          <w:sz w:val="72"/>
          <w:szCs w:val="72"/>
        </w:rPr>
      </w:pPr>
    </w:p>
    <w:p>
      <w:pPr>
        <w:pStyle w:val="9"/>
        <w:jc w:val="center"/>
        <w:rPr>
          <w:sz w:val="72"/>
          <w:szCs w:val="72"/>
        </w:rPr>
      </w:pPr>
      <w:r>
        <w:rPr>
          <w:rFonts w:hint="eastAsia"/>
          <w:sz w:val="72"/>
          <w:szCs w:val="72"/>
        </w:rPr>
        <w:t>第三部分</w:t>
      </w:r>
    </w:p>
    <w:p>
      <w:pPr>
        <w:pStyle w:val="9"/>
        <w:jc w:val="center"/>
        <w:rPr>
          <w:sz w:val="70"/>
          <w:szCs w:val="70"/>
        </w:rPr>
      </w:pPr>
    </w:p>
    <w:p>
      <w:pPr>
        <w:pStyle w:val="9"/>
        <w:jc w:val="center"/>
        <w:rPr>
          <w:sz w:val="70"/>
          <w:szCs w:val="70"/>
        </w:rPr>
      </w:pPr>
      <w:r>
        <w:rPr>
          <w:sz w:val="70"/>
          <w:szCs w:val="70"/>
        </w:rPr>
        <w:t>20</w:t>
      </w:r>
      <w:r>
        <w:rPr>
          <w:rFonts w:hint="eastAsia"/>
          <w:sz w:val="70"/>
          <w:szCs w:val="70"/>
        </w:rPr>
        <w:t>21年度部门决算情况说明</w:t>
      </w:r>
    </w:p>
    <w:p>
      <w:pPr>
        <w:widowControl/>
        <w:jc w:val="left"/>
        <w:rPr>
          <w:rFonts w:ascii="黑体" w:eastAsia="黑体" w:cs="黑体"/>
          <w:color w:val="000000"/>
          <w:kern w:val="0"/>
          <w:sz w:val="70"/>
          <w:szCs w:val="70"/>
        </w:rPr>
      </w:pPr>
      <w:r>
        <w:rPr>
          <w:sz w:val="70"/>
          <w:szCs w:val="70"/>
        </w:rPr>
        <w:br w:type="page"/>
      </w:r>
    </w:p>
    <w:p>
      <w:pPr>
        <w:pStyle w:val="9"/>
        <w:rPr>
          <w:rFonts w:asciiTheme="minorEastAsia" w:hAnsiTheme="minorEastAsia" w:eastAsiaTheme="minorEastAsia"/>
          <w:sz w:val="32"/>
          <w:szCs w:val="32"/>
        </w:rPr>
      </w:pPr>
    </w:p>
    <w:p>
      <w:pPr>
        <w:pStyle w:val="9"/>
        <w:rPr>
          <w:rFonts w:hAnsi="黑体"/>
          <w:b/>
          <w:sz w:val="32"/>
          <w:szCs w:val="32"/>
        </w:rPr>
      </w:pPr>
      <w:r>
        <w:rPr>
          <w:rFonts w:hint="eastAsia" w:hAnsi="黑体"/>
          <w:b/>
          <w:sz w:val="32"/>
          <w:szCs w:val="32"/>
        </w:rPr>
        <w:t>一、收入支出决算总体情况说明</w:t>
      </w:r>
    </w:p>
    <w:p>
      <w:pPr>
        <w:pStyle w:val="9"/>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2021年度收、支总计604.57万元。与上年相比，减少</w:t>
      </w:r>
      <w:r>
        <w:rPr>
          <w:rFonts w:hint="eastAsia" w:asciiTheme="minorEastAsia" w:hAnsiTheme="minorEastAsia" w:eastAsiaTheme="minorEastAsia"/>
          <w:sz w:val="32"/>
          <w:szCs w:val="32"/>
          <w:lang w:val="en-US" w:eastAsia="zh-CN"/>
        </w:rPr>
        <w:t>27.57</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4.36</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年初结转和结余减少。</w:t>
      </w:r>
    </w:p>
    <w:p>
      <w:pPr>
        <w:pStyle w:val="9"/>
        <w:rPr>
          <w:rFonts w:hAnsi="黑体"/>
          <w:b/>
          <w:sz w:val="32"/>
          <w:szCs w:val="32"/>
        </w:rPr>
      </w:pPr>
      <w:r>
        <w:rPr>
          <w:rFonts w:hint="eastAsia" w:hAnsi="黑体"/>
          <w:b/>
          <w:sz w:val="32"/>
          <w:szCs w:val="32"/>
        </w:rPr>
        <w:t>二、收入决算情况说明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2021年度收入合计384.81万元，其中：财政拨款收入381.61万元，占</w:t>
      </w:r>
      <w:r>
        <w:rPr>
          <w:rFonts w:hint="eastAsia" w:asciiTheme="minorEastAsia" w:hAnsiTheme="minorEastAsia" w:eastAsiaTheme="minorEastAsia"/>
          <w:sz w:val="32"/>
          <w:szCs w:val="32"/>
          <w:lang w:val="en-US" w:eastAsia="zh-CN"/>
        </w:rPr>
        <w:t>99.17</w:t>
      </w:r>
      <w:r>
        <w:rPr>
          <w:rFonts w:hint="eastAsia" w:asciiTheme="minorEastAsia" w:hAnsiTheme="minorEastAsia" w:eastAsiaTheme="minorEastAsia"/>
          <w:sz w:val="32"/>
          <w:szCs w:val="32"/>
        </w:rPr>
        <w:t>%；上级补助收入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%；事业收入3.2万元，占</w:t>
      </w:r>
      <w:r>
        <w:rPr>
          <w:rFonts w:hint="eastAsia" w:asciiTheme="minorEastAsia" w:hAnsiTheme="minorEastAsia" w:eastAsiaTheme="minorEastAsia"/>
          <w:sz w:val="32"/>
          <w:szCs w:val="32"/>
          <w:lang w:val="en-US" w:eastAsia="zh-CN"/>
        </w:rPr>
        <w:t>0.83</w:t>
      </w:r>
      <w:r>
        <w:rPr>
          <w:rFonts w:hint="eastAsia" w:asciiTheme="minorEastAsia" w:hAnsiTheme="minorEastAsia" w:eastAsiaTheme="minorEastAsia"/>
          <w:sz w:val="32"/>
          <w:szCs w:val="32"/>
        </w:rPr>
        <w:t>%；经营收入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%；附属单位上缴收入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%；其他收入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9"/>
        <w:rPr>
          <w:rFonts w:hAnsi="黑体"/>
          <w:b/>
          <w:sz w:val="32"/>
          <w:szCs w:val="32"/>
        </w:rPr>
      </w:pPr>
      <w:r>
        <w:rPr>
          <w:rFonts w:hint="eastAsia" w:hAnsi="黑体"/>
          <w:b/>
          <w:sz w:val="32"/>
          <w:szCs w:val="32"/>
        </w:rPr>
        <w:t>三、支出决算情况说明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2021年度支出合计464.94万元，其中：基本支出79.93万元，占</w:t>
      </w:r>
      <w:r>
        <w:rPr>
          <w:rFonts w:hint="eastAsia" w:asciiTheme="minorEastAsia" w:hAnsiTheme="minorEastAsia" w:eastAsiaTheme="minorEastAsia"/>
          <w:sz w:val="32"/>
          <w:szCs w:val="32"/>
          <w:lang w:val="en-US" w:eastAsia="zh-CN"/>
        </w:rPr>
        <w:t>17.19</w:t>
      </w:r>
      <w:r>
        <w:rPr>
          <w:rFonts w:hint="eastAsia" w:asciiTheme="minorEastAsia" w:hAnsiTheme="minorEastAsia" w:eastAsiaTheme="minorEastAsia"/>
          <w:sz w:val="32"/>
          <w:szCs w:val="32"/>
        </w:rPr>
        <w:t>%；项目支出385.01万元，占</w:t>
      </w:r>
      <w:r>
        <w:rPr>
          <w:rFonts w:hint="eastAsia" w:asciiTheme="minorEastAsia" w:hAnsiTheme="minorEastAsia" w:eastAsiaTheme="minorEastAsia"/>
          <w:sz w:val="32"/>
          <w:szCs w:val="32"/>
          <w:lang w:val="en-US" w:eastAsia="zh-CN"/>
        </w:rPr>
        <w:t>82.81</w:t>
      </w:r>
      <w:r>
        <w:rPr>
          <w:rFonts w:hint="eastAsia" w:asciiTheme="minorEastAsia" w:hAnsiTheme="minorEastAsia" w:eastAsiaTheme="minorEastAsia"/>
          <w:sz w:val="32"/>
          <w:szCs w:val="32"/>
        </w:rPr>
        <w:t>%；上缴上级支出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%；对附属单位补助支出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9"/>
        <w:rPr>
          <w:rFonts w:hAnsi="黑体"/>
          <w:b/>
          <w:sz w:val="32"/>
          <w:szCs w:val="32"/>
        </w:rPr>
      </w:pPr>
      <w:r>
        <w:rPr>
          <w:rFonts w:hint="eastAsia" w:hAnsi="黑体"/>
          <w:b/>
          <w:sz w:val="32"/>
          <w:szCs w:val="32"/>
        </w:rPr>
        <w:t>四、财政拨款收入支出决算总体情况说明</w:t>
      </w:r>
    </w:p>
    <w:p>
      <w:pPr>
        <w:pStyle w:val="9"/>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 xml:space="preserve">    2021年度财政拨款收、支总计433.14万元，与上年相比，减少</w:t>
      </w:r>
      <w:r>
        <w:rPr>
          <w:rFonts w:hint="eastAsia" w:asciiTheme="minorEastAsia" w:hAnsiTheme="minorEastAsia" w:eastAsiaTheme="minorEastAsia"/>
          <w:sz w:val="32"/>
          <w:szCs w:val="32"/>
          <w:lang w:val="en-US" w:eastAsia="zh-CN"/>
        </w:rPr>
        <w:t>28.69</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6.21</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财政拨款减少、保障支出有所增加。</w:t>
      </w:r>
    </w:p>
    <w:p>
      <w:pPr>
        <w:pStyle w:val="9"/>
        <w:rPr>
          <w:rFonts w:hAnsi="黑体"/>
          <w:b/>
          <w:sz w:val="32"/>
          <w:szCs w:val="32"/>
        </w:rPr>
      </w:pPr>
      <w:r>
        <w:rPr>
          <w:rFonts w:hint="eastAsia" w:hAnsi="黑体"/>
          <w:b/>
          <w:sz w:val="32"/>
          <w:szCs w:val="32"/>
        </w:rPr>
        <w:t>五、一般公共预算财政拨款支出决算情况说明</w:t>
      </w:r>
    </w:p>
    <w:p>
      <w:pPr>
        <w:pStyle w:val="9"/>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9"/>
        <w:ind w:firstLine="800"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2021年度财政拨款支出433.14万元，占本年支出合计的</w:t>
      </w:r>
      <w:r>
        <w:rPr>
          <w:rFonts w:hint="eastAsia" w:asciiTheme="minorEastAsia" w:hAnsiTheme="minorEastAsia" w:eastAsiaTheme="minorEastAsia"/>
          <w:sz w:val="32"/>
          <w:szCs w:val="32"/>
          <w:lang w:val="en-US" w:eastAsia="zh-CN"/>
        </w:rPr>
        <w:t>71.64</w:t>
      </w:r>
      <w:r>
        <w:rPr>
          <w:rFonts w:hint="eastAsia" w:asciiTheme="minorEastAsia" w:hAnsiTheme="minorEastAsia" w:eastAsiaTheme="minorEastAsia"/>
          <w:sz w:val="32"/>
          <w:szCs w:val="32"/>
        </w:rPr>
        <w:t>%，与上年相比，财政拨款支出增加</w:t>
      </w:r>
      <w:r>
        <w:rPr>
          <w:rFonts w:hint="eastAsia" w:asciiTheme="minorEastAsia" w:hAnsiTheme="minorEastAsia" w:eastAsiaTheme="minorEastAsia"/>
          <w:sz w:val="32"/>
          <w:szCs w:val="32"/>
          <w:lang w:val="en-US" w:eastAsia="zh-CN"/>
        </w:rPr>
        <w:t>22.84</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5.27</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民政管理事务的增长。</w:t>
      </w:r>
    </w:p>
    <w:p>
      <w:pPr>
        <w:pStyle w:val="9"/>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9"/>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2021年度财政拨款支出433.14万元，主要用于以下方面：社会保障和就业（类）支出430.54万元，占</w:t>
      </w:r>
      <w:r>
        <w:rPr>
          <w:rFonts w:hint="eastAsia" w:asciiTheme="minorEastAsia" w:hAnsiTheme="minorEastAsia" w:eastAsiaTheme="minorEastAsia"/>
          <w:sz w:val="32"/>
          <w:szCs w:val="32"/>
          <w:lang w:val="en-US" w:eastAsia="zh-CN"/>
        </w:rPr>
        <w:t>99.40</w:t>
      </w:r>
      <w:r>
        <w:rPr>
          <w:rFonts w:hint="eastAsia" w:asciiTheme="minorEastAsia" w:hAnsiTheme="minorEastAsia" w:eastAsiaTheme="minorEastAsia"/>
          <w:sz w:val="32"/>
          <w:szCs w:val="32"/>
        </w:rPr>
        <w:t>%；住房保障（类）支出</w:t>
      </w:r>
      <w:r>
        <w:rPr>
          <w:rFonts w:hint="eastAsia" w:asciiTheme="minorEastAsia" w:hAnsiTheme="minorEastAsia" w:eastAsiaTheme="minorEastAsia"/>
          <w:b w:val="0"/>
          <w:bCs w:val="0"/>
          <w:sz w:val="32"/>
          <w:szCs w:val="32"/>
        </w:rPr>
        <w:t>2.61</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0.60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p>
    <w:p>
      <w:pPr>
        <w:pStyle w:val="9"/>
        <w:ind w:firstLine="640" w:firstLineChars="200"/>
        <w:rPr>
          <w:rFonts w:hint="eastAsia" w:asciiTheme="minorEastAsia" w:hAnsiTheme="minorEastAsia" w:eastAsiaTheme="minorEastAsia"/>
          <w:sz w:val="32"/>
          <w:szCs w:val="32"/>
          <w:lang w:eastAsia="zh-CN"/>
        </w:rPr>
      </w:pPr>
    </w:p>
    <w:p>
      <w:pPr>
        <w:pStyle w:val="9"/>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2021年度财政拨款支出年初预算数为</w:t>
      </w:r>
      <w:r>
        <w:rPr>
          <w:rFonts w:hint="eastAsia" w:asciiTheme="minorEastAsia" w:hAnsiTheme="minorEastAsia" w:eastAsiaTheme="minorEastAsia"/>
          <w:sz w:val="32"/>
          <w:szCs w:val="32"/>
          <w:lang w:val="en-US" w:eastAsia="zh-CN"/>
        </w:rPr>
        <w:t>378.12</w:t>
      </w:r>
      <w:r>
        <w:rPr>
          <w:rFonts w:hint="eastAsia" w:asciiTheme="minorEastAsia" w:hAnsiTheme="minorEastAsia" w:eastAsiaTheme="minorEastAsia"/>
          <w:sz w:val="32"/>
          <w:szCs w:val="32"/>
        </w:rPr>
        <w:t>万元，支出决算数为433.14万元，完成年初预算的</w:t>
      </w:r>
      <w:r>
        <w:rPr>
          <w:rFonts w:hint="eastAsia" w:asciiTheme="minorEastAsia" w:hAnsiTheme="minorEastAsia" w:eastAsiaTheme="minorEastAsia"/>
          <w:sz w:val="32"/>
          <w:szCs w:val="32"/>
          <w:lang w:val="en-US" w:eastAsia="zh-CN"/>
        </w:rPr>
        <w:t>114.55</w:t>
      </w:r>
      <w:r>
        <w:rPr>
          <w:rFonts w:hint="eastAsia" w:asciiTheme="minorEastAsia" w:hAnsiTheme="minorEastAsia" w:eastAsiaTheme="minorEastAsia"/>
          <w:sz w:val="32"/>
          <w:szCs w:val="32"/>
        </w:rPr>
        <w:t>%，其中：</w:t>
      </w:r>
    </w:p>
    <w:p>
      <w:pPr>
        <w:pStyle w:val="9"/>
        <w:numPr>
          <w:ilvl w:val="0"/>
          <w:numId w:val="3"/>
        </w:numPr>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社会保障和就业支出（类）</w:t>
      </w:r>
    </w:p>
    <w:p>
      <w:pPr>
        <w:pStyle w:val="9"/>
        <w:numPr>
          <w:ilvl w:val="0"/>
          <w:numId w:val="0"/>
        </w:numPr>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 xml:space="preserve">     （1）</w:t>
      </w:r>
      <w:r>
        <w:rPr>
          <w:rFonts w:hint="eastAsia" w:asciiTheme="minorEastAsia" w:hAnsiTheme="minorEastAsia" w:eastAsiaTheme="minorEastAsia"/>
          <w:sz w:val="32"/>
          <w:szCs w:val="32"/>
        </w:rPr>
        <w:t>民政管理事务（款）行政运行（项）</w:t>
      </w:r>
    </w:p>
    <w:p>
      <w:pPr>
        <w:pStyle w:val="9"/>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38.977</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71.51</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183.47</w:t>
      </w:r>
      <w:r>
        <w:rPr>
          <w:rFonts w:hint="eastAsia" w:asciiTheme="minorEastAsia" w:hAnsiTheme="minorEastAsia" w:eastAsiaTheme="minorEastAsia"/>
          <w:sz w:val="32"/>
          <w:szCs w:val="32"/>
        </w:rPr>
        <w:t>%，决算数大于年初预算数的主要原因是</w:t>
      </w:r>
      <w:r>
        <w:rPr>
          <w:rFonts w:hint="eastAsia" w:asciiTheme="minorEastAsia" w:hAnsiTheme="minorEastAsia" w:eastAsiaTheme="minorEastAsia"/>
          <w:sz w:val="32"/>
          <w:szCs w:val="32"/>
          <w:lang w:eastAsia="zh-CN"/>
        </w:rPr>
        <w:t>人员工资支出增多。</w:t>
      </w:r>
    </w:p>
    <w:p>
      <w:pPr>
        <w:pStyle w:val="9"/>
        <w:numPr>
          <w:ilvl w:val="0"/>
          <w:numId w:val="4"/>
        </w:numPr>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抚恤（款）其他优抚支出（项）</w:t>
      </w:r>
    </w:p>
    <w:p>
      <w:pPr>
        <w:pStyle w:val="9"/>
        <w:numPr>
          <w:ilvl w:val="0"/>
          <w:numId w:val="0"/>
        </w:numPr>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 xml:space="preserve">      年初预算为0万元，支出决算为1.5万元，根据新要求增加抚恤金的开支。</w:t>
      </w:r>
    </w:p>
    <w:p>
      <w:pPr>
        <w:pStyle w:val="9"/>
        <w:numPr>
          <w:ilvl w:val="0"/>
          <w:numId w:val="4"/>
        </w:numPr>
        <w:ind w:left="0" w:leftChars="0" w:firstLine="800"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社会福利（款)殡葬(项）及 社会福利事业单位（项）</w:t>
      </w:r>
    </w:p>
    <w:p>
      <w:pPr>
        <w:pStyle w:val="9"/>
        <w:numPr>
          <w:ilvl w:val="0"/>
          <w:numId w:val="0"/>
        </w:numPr>
        <w:ind w:left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 xml:space="preserve">  年初预算为33.60万元支出决算为35.753万元，</w:t>
      </w:r>
      <w:r>
        <w:rPr>
          <w:rFonts w:hint="eastAsia" w:asciiTheme="minorEastAsia" w:hAnsiTheme="minorEastAsia" w:eastAsiaTheme="minorEastAsia"/>
          <w:sz w:val="32"/>
          <w:szCs w:val="32"/>
        </w:rPr>
        <w:t>完成年初预算的</w:t>
      </w:r>
      <w:r>
        <w:rPr>
          <w:rFonts w:hint="eastAsia" w:asciiTheme="minorEastAsia" w:hAnsiTheme="minorEastAsia" w:eastAsiaTheme="minorEastAsia"/>
          <w:sz w:val="32"/>
          <w:szCs w:val="32"/>
          <w:lang w:val="en-US" w:eastAsia="zh-CN"/>
        </w:rPr>
        <w:t>106.41</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决算大于年初预算数的主要原因是增加了社会福利事业的开支。</w:t>
      </w:r>
      <w:r>
        <w:rPr>
          <w:rFonts w:hint="eastAsia" w:asciiTheme="minorEastAsia" w:hAnsiTheme="minorEastAsia" w:eastAsiaTheme="minorEastAsia"/>
          <w:sz w:val="32"/>
          <w:szCs w:val="32"/>
          <w:lang w:val="en-US" w:eastAsia="zh-CN"/>
        </w:rPr>
        <w:t xml:space="preserve">      </w:t>
      </w:r>
    </w:p>
    <w:p>
      <w:pPr>
        <w:pStyle w:val="9"/>
        <w:numPr>
          <w:ilvl w:val="0"/>
          <w:numId w:val="0"/>
        </w:numPr>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 xml:space="preserve">       </w:t>
      </w:r>
      <w:r>
        <w:rPr>
          <w:rFonts w:hint="eastAsia" w:asciiTheme="minorEastAsia" w:hAnsiTheme="minorEastAsia" w:eastAsiaTheme="minorEastAsia"/>
          <w:sz w:val="32"/>
          <w:szCs w:val="32"/>
        </w:rPr>
        <w:t>2、住房保障支出（类）住房改革支出（款） 住房公积金（项）。</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3.126</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2.61</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83.49</w:t>
      </w:r>
      <w:r>
        <w:rPr>
          <w:rFonts w:hint="eastAsia" w:asciiTheme="minorEastAsia" w:hAnsiTheme="minorEastAsia" w:eastAsiaTheme="minorEastAsia"/>
          <w:sz w:val="32"/>
          <w:szCs w:val="32"/>
        </w:rPr>
        <w:t>%，决算数小于年初预算数的主要原因是</w:t>
      </w:r>
      <w:r>
        <w:rPr>
          <w:rFonts w:hint="eastAsia" w:asciiTheme="minorEastAsia" w:hAnsiTheme="minorEastAsia" w:eastAsiaTheme="minorEastAsia"/>
          <w:sz w:val="32"/>
          <w:szCs w:val="32"/>
          <w:lang w:eastAsia="zh-CN"/>
        </w:rPr>
        <w:t>无。</w:t>
      </w:r>
    </w:p>
    <w:p>
      <w:pPr>
        <w:pStyle w:val="9"/>
        <w:rPr>
          <w:rFonts w:hAnsi="黑体"/>
          <w:b/>
          <w:sz w:val="32"/>
          <w:szCs w:val="32"/>
        </w:rPr>
      </w:pPr>
      <w:r>
        <w:rPr>
          <w:rFonts w:hint="eastAsia" w:hAnsi="黑体"/>
          <w:b/>
          <w:sz w:val="32"/>
          <w:szCs w:val="32"/>
        </w:rPr>
        <w:t>六、一般公共预算财政拨款基本支出决算情况说明</w:t>
      </w:r>
    </w:p>
    <w:p>
      <w:pPr>
        <w:pStyle w:val="9"/>
        <w:ind w:firstLine="640" w:firstLineChars="200"/>
        <w:rPr>
          <w:rFonts w:asciiTheme="minorEastAsia" w:hAnsiTheme="minorEastAsia" w:eastAsiaTheme="minorEastAsia"/>
          <w:i/>
          <w:color w:val="FF0000"/>
          <w:sz w:val="32"/>
          <w:szCs w:val="32"/>
        </w:rPr>
      </w:pPr>
      <w:r>
        <w:rPr>
          <w:rFonts w:hint="eastAsia" w:asciiTheme="minorEastAsia" w:hAnsiTheme="minorEastAsia" w:eastAsiaTheme="minorEastAsia"/>
          <w:sz w:val="32"/>
          <w:szCs w:val="32"/>
        </w:rPr>
        <w:t>2021年度财政拨款基本支出75.61万元，其中：人员经费37.92万元，占基本支出的</w:t>
      </w:r>
      <w:r>
        <w:rPr>
          <w:rFonts w:hint="eastAsia" w:asciiTheme="minorEastAsia" w:hAnsiTheme="minorEastAsia" w:eastAsiaTheme="minorEastAsia"/>
          <w:sz w:val="32"/>
          <w:szCs w:val="32"/>
          <w:lang w:val="en-US" w:eastAsia="zh-CN"/>
        </w:rPr>
        <w:t>50.15</w:t>
      </w:r>
      <w:r>
        <w:rPr>
          <w:rFonts w:hint="eastAsia" w:asciiTheme="minorEastAsia" w:hAnsiTheme="minorEastAsia" w:eastAsiaTheme="minorEastAsia"/>
          <w:sz w:val="32"/>
          <w:szCs w:val="32"/>
        </w:rPr>
        <w:t>%,主要包括基本工资、津贴补贴、奖金、伙食补助费；公用经费37.7万元，占基本支出的</w:t>
      </w:r>
      <w:r>
        <w:rPr>
          <w:rFonts w:hint="eastAsia" w:asciiTheme="minorEastAsia" w:hAnsiTheme="minorEastAsia" w:eastAsiaTheme="minorEastAsia"/>
          <w:sz w:val="32"/>
          <w:szCs w:val="32"/>
          <w:lang w:val="en-US" w:eastAsia="zh-CN"/>
        </w:rPr>
        <w:t>49.85</w:t>
      </w:r>
      <w:r>
        <w:rPr>
          <w:rFonts w:hint="eastAsia" w:asciiTheme="minorEastAsia" w:hAnsiTheme="minorEastAsia" w:eastAsiaTheme="minorEastAsia"/>
          <w:sz w:val="32"/>
          <w:szCs w:val="32"/>
        </w:rPr>
        <w:t>%，主要包括办公费、印刷费、咨询费、手续费。</w:t>
      </w:r>
    </w:p>
    <w:p>
      <w:pPr>
        <w:pStyle w:val="9"/>
        <w:rPr>
          <w:rFonts w:hAnsi="黑体"/>
          <w:b/>
          <w:sz w:val="32"/>
          <w:szCs w:val="32"/>
        </w:rPr>
      </w:pPr>
      <w:r>
        <w:rPr>
          <w:rFonts w:hint="eastAsia" w:hAnsi="黑体"/>
          <w:b/>
          <w:sz w:val="32"/>
          <w:szCs w:val="32"/>
        </w:rPr>
        <w:t>七、一般公共预算财政拨款“三公”经费支出决算情况说明</w:t>
      </w:r>
    </w:p>
    <w:p>
      <w:pPr>
        <w:pStyle w:val="9"/>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2021年度“三公”经费财政拨款支出预算为</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%，其中：</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%，决算数小于预算数的主要原因是</w:t>
      </w:r>
      <w:r>
        <w:rPr>
          <w:rFonts w:hint="eastAsia" w:asciiTheme="minorEastAsia" w:hAnsiTheme="minorEastAsia" w:eastAsiaTheme="minorEastAsia"/>
          <w:sz w:val="32"/>
          <w:szCs w:val="32"/>
          <w:lang w:eastAsia="zh-CN"/>
        </w:rPr>
        <w:t>无</w:t>
      </w:r>
      <w:r>
        <w:rPr>
          <w:rFonts w:hint="eastAsia" w:asciiTheme="minorEastAsia" w:hAnsiTheme="minorEastAsia" w:eastAsiaTheme="minorEastAsia"/>
          <w:sz w:val="32"/>
          <w:szCs w:val="32"/>
        </w:rPr>
        <w:t>，与上年相比减少</w:t>
      </w:r>
      <w:r>
        <w:rPr>
          <w:rFonts w:hint="eastAsia" w:asciiTheme="minorEastAsia" w:hAnsiTheme="minorEastAsia" w:eastAsiaTheme="minorEastAsia"/>
          <w:sz w:val="32"/>
          <w:szCs w:val="32"/>
          <w:lang w:val="en-US" w:eastAsia="zh-CN"/>
        </w:rPr>
        <w:t>0.18</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%,减少的主要原因是</w:t>
      </w:r>
      <w:r>
        <w:rPr>
          <w:rFonts w:hint="eastAsia" w:asciiTheme="minorEastAsia" w:hAnsiTheme="minorEastAsia" w:eastAsiaTheme="minorEastAsia"/>
          <w:sz w:val="32"/>
          <w:szCs w:val="32"/>
          <w:lang w:eastAsia="zh-CN"/>
        </w:rPr>
        <w:t>无</w:t>
      </w:r>
      <w:r>
        <w:rPr>
          <w:rFonts w:hint="eastAsia" w:asciiTheme="minorEastAsia" w:hAnsiTheme="minorEastAsia" w:eastAsiaTheme="minorEastAsia"/>
          <w:sz w:val="32"/>
          <w:szCs w:val="32"/>
        </w:rPr>
        <w:t>。</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小于</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预算数的主要原因是</w:t>
      </w:r>
      <w:r>
        <w:rPr>
          <w:rFonts w:hint="eastAsia" w:asciiTheme="minorEastAsia" w:hAnsiTheme="minorEastAsia" w:eastAsiaTheme="minorEastAsia"/>
          <w:sz w:val="32"/>
          <w:szCs w:val="32"/>
          <w:lang w:eastAsia="zh-CN"/>
        </w:rPr>
        <w:t>无</w:t>
      </w:r>
      <w:r>
        <w:rPr>
          <w:rFonts w:hint="eastAsia" w:asciiTheme="minorEastAsia" w:hAnsiTheme="minorEastAsia" w:eastAsiaTheme="minorEastAsia"/>
          <w:sz w:val="32"/>
          <w:szCs w:val="32"/>
        </w:rPr>
        <w:t>，与上年相比减少</w:t>
      </w:r>
      <w:r>
        <w:rPr>
          <w:rFonts w:hint="eastAsia" w:asciiTheme="minorEastAsia" w:hAnsiTheme="minorEastAsia" w:eastAsiaTheme="minorEastAsia"/>
          <w:sz w:val="32"/>
          <w:szCs w:val="32"/>
          <w:lang w:val="en-US" w:eastAsia="zh-CN"/>
        </w:rPr>
        <w:t>0.18</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%,减少的主要原因是</w:t>
      </w:r>
      <w:r>
        <w:rPr>
          <w:rFonts w:hint="eastAsia" w:asciiTheme="minorEastAsia" w:hAnsiTheme="minorEastAsia" w:eastAsiaTheme="minorEastAsia"/>
          <w:sz w:val="32"/>
          <w:szCs w:val="32"/>
          <w:lang w:eastAsia="zh-CN"/>
        </w:rPr>
        <w:t>无</w:t>
      </w:r>
      <w:r>
        <w:rPr>
          <w:rFonts w:hint="eastAsia" w:asciiTheme="minorEastAsia" w:hAnsiTheme="minorEastAsia" w:eastAsiaTheme="minorEastAsia"/>
          <w:sz w:val="32"/>
          <w:szCs w:val="32"/>
        </w:rPr>
        <w:t>。</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公务用车购置费支出预算为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于</w:t>
      </w:r>
      <w:r>
        <w:rPr>
          <w:rFonts w:hint="eastAsia" w:asciiTheme="minorEastAsia" w:hAnsiTheme="minorEastAsia" w:eastAsiaTheme="minorEastAsia"/>
          <w:sz w:val="32"/>
          <w:szCs w:val="32"/>
        </w:rPr>
        <w:t>预算数</w:t>
      </w:r>
      <w:r>
        <w:rPr>
          <w:rFonts w:hint="eastAsia" w:asciiTheme="minorEastAsia" w:hAnsiTheme="minorEastAsia" w:eastAsiaTheme="minorEastAsia"/>
          <w:sz w:val="32"/>
          <w:szCs w:val="32"/>
          <w:lang w:eastAsia="zh-CN"/>
        </w:rPr>
        <w:t>持平</w:t>
      </w:r>
      <w:r>
        <w:rPr>
          <w:rFonts w:hint="eastAsia" w:asciiTheme="minorEastAsia" w:hAnsiTheme="minorEastAsia" w:eastAsiaTheme="minorEastAsia"/>
          <w:sz w:val="32"/>
          <w:szCs w:val="32"/>
        </w:rPr>
        <w:t>，与上年相比</w:t>
      </w:r>
      <w:r>
        <w:rPr>
          <w:rFonts w:hint="eastAsia" w:asciiTheme="minorEastAsia" w:hAnsiTheme="minorEastAsia" w:eastAsiaTheme="minorEastAsia"/>
          <w:sz w:val="32"/>
          <w:szCs w:val="32"/>
          <w:lang w:eastAsia="zh-CN"/>
        </w:rPr>
        <w:t>持平</w:t>
      </w:r>
      <w:r>
        <w:rPr>
          <w:rFonts w:hint="eastAsia" w:asciiTheme="minorEastAsia" w:hAnsiTheme="minorEastAsia" w:eastAsiaTheme="minorEastAsia"/>
          <w:sz w:val="32"/>
          <w:szCs w:val="32"/>
        </w:rPr>
        <w:t>。</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公务用车运行维护费支出预算为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于</w:t>
      </w:r>
      <w:r>
        <w:rPr>
          <w:rFonts w:hint="eastAsia" w:asciiTheme="minorEastAsia" w:hAnsiTheme="minorEastAsia" w:eastAsiaTheme="minorEastAsia"/>
          <w:sz w:val="32"/>
          <w:szCs w:val="32"/>
        </w:rPr>
        <w:t>预算数</w:t>
      </w:r>
      <w:r>
        <w:rPr>
          <w:rFonts w:hint="eastAsia" w:asciiTheme="minorEastAsia" w:hAnsiTheme="minorEastAsia" w:eastAsiaTheme="minorEastAsia"/>
          <w:sz w:val="32"/>
          <w:szCs w:val="32"/>
          <w:lang w:eastAsia="zh-CN"/>
        </w:rPr>
        <w:t>持平</w:t>
      </w:r>
      <w:r>
        <w:rPr>
          <w:rFonts w:hint="eastAsia" w:asciiTheme="minorEastAsia" w:hAnsiTheme="minorEastAsia" w:eastAsiaTheme="minorEastAsia"/>
          <w:sz w:val="32"/>
          <w:szCs w:val="32"/>
        </w:rPr>
        <w:t>，与上年</w:t>
      </w:r>
      <w:r>
        <w:rPr>
          <w:rFonts w:hint="eastAsia" w:asciiTheme="minorEastAsia" w:hAnsiTheme="minorEastAsia" w:eastAsiaTheme="minorEastAsia"/>
          <w:sz w:val="32"/>
          <w:szCs w:val="32"/>
          <w:lang w:eastAsia="zh-CN"/>
        </w:rPr>
        <w:t>持平</w:t>
      </w:r>
      <w:r>
        <w:rPr>
          <w:rFonts w:hint="eastAsia" w:asciiTheme="minorEastAsia" w:hAnsiTheme="minorEastAsia" w:eastAsiaTheme="minorEastAsia"/>
          <w:sz w:val="32"/>
          <w:szCs w:val="32"/>
        </w:rPr>
        <w:t>。</w:t>
      </w:r>
    </w:p>
    <w:p>
      <w:pPr>
        <w:pStyle w:val="9"/>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2021年度“三公”经费财政拨款支出决算中，公务接待费支出决算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%,因公出国（境）费支出决算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%,公务用车购置费及运行维护费支出决算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%。其中：</w:t>
      </w:r>
    </w:p>
    <w:p>
      <w:pPr>
        <w:pStyle w:val="9"/>
        <w:ind w:firstLine="640" w:firstLineChars="200"/>
        <w:rPr>
          <w:rFonts w:hint="eastAsia" w:asciiTheme="minorEastAsia" w:hAnsiTheme="minorEastAsia" w:eastAsiaTheme="minorEastAsia"/>
          <w:b/>
          <w:sz w:val="32"/>
          <w:szCs w:val="32"/>
          <w:lang w:eastAsia="zh-CN"/>
        </w:rPr>
      </w:pPr>
      <w:r>
        <w:rPr>
          <w:rFonts w:hint="eastAsia" w:asciiTheme="minorEastAsia" w:hAnsiTheme="minorEastAsia" w:eastAsiaTheme="minorEastAsia"/>
          <w:sz w:val="32"/>
          <w:szCs w:val="32"/>
        </w:rPr>
        <w:t>1、因公出国（境）费支出决算为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万元，全年安排因公出国（境）团组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个，累计</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人次,开支内容包括：</w:t>
      </w:r>
      <w:r>
        <w:rPr>
          <w:rFonts w:hint="eastAsia" w:asciiTheme="minorEastAsia" w:hAnsiTheme="minorEastAsia" w:eastAsiaTheme="minorEastAsia"/>
          <w:sz w:val="32"/>
          <w:szCs w:val="32"/>
          <w:lang w:eastAsia="zh-CN"/>
        </w:rPr>
        <w:t>无</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万元，全年共接待来访团组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个、来宾</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人次，主要是</w:t>
      </w:r>
      <w:r>
        <w:rPr>
          <w:rFonts w:hint="eastAsia" w:asciiTheme="minorEastAsia" w:hAnsiTheme="minorEastAsia" w:eastAsiaTheme="minorEastAsia"/>
          <w:sz w:val="32"/>
          <w:szCs w:val="32"/>
          <w:lang w:eastAsia="zh-CN"/>
        </w:rPr>
        <w:t>无</w:t>
      </w:r>
      <w:r>
        <w:rPr>
          <w:rFonts w:hint="eastAsia" w:asciiTheme="minorEastAsia" w:hAnsiTheme="minorEastAsia" w:eastAsiaTheme="minorEastAsia"/>
          <w:sz w:val="32"/>
          <w:szCs w:val="32"/>
        </w:rPr>
        <w:t>发生的接待支出。</w:t>
      </w:r>
    </w:p>
    <w:p>
      <w:pPr>
        <w:ind w:firstLine="800" w:firstLineChars="250"/>
        <w:rPr>
          <w:rFonts w:cs="黑体" w:asciiTheme="minorEastAsia" w:hAnsiTheme="minorEastAsia"/>
          <w:color w:val="000000"/>
          <w:kern w:val="0"/>
          <w:sz w:val="32"/>
          <w:szCs w:val="32"/>
        </w:rPr>
      </w:pPr>
      <w:r>
        <w:rPr>
          <w:rFonts w:hint="eastAsia" w:asciiTheme="minorEastAsia" w:hAnsiTheme="minorEastAsia"/>
          <w:sz w:val="32"/>
          <w:szCs w:val="32"/>
        </w:rPr>
        <w:t>3、公务用车购置费及运行维护费支出决算为</w:t>
      </w:r>
      <w:r>
        <w:rPr>
          <w:rFonts w:hint="eastAsia" w:asciiTheme="minorEastAsia" w:hAnsiTheme="minorEastAsia"/>
          <w:sz w:val="32"/>
          <w:szCs w:val="32"/>
          <w:lang w:val="en-US" w:eastAsia="zh-CN"/>
        </w:rPr>
        <w:t>0</w:t>
      </w:r>
      <w:r>
        <w:rPr>
          <w:rFonts w:hint="eastAsia" w:asciiTheme="minorEastAsia" w:hAnsiTheme="minorEastAsia"/>
          <w:sz w:val="32"/>
          <w:szCs w:val="32"/>
        </w:rPr>
        <w:t>万元，其中：公务用车购置费</w:t>
      </w:r>
      <w:r>
        <w:rPr>
          <w:rFonts w:hint="eastAsia" w:asciiTheme="minorEastAsia" w:hAnsiTheme="minorEastAsia"/>
          <w:sz w:val="32"/>
          <w:szCs w:val="32"/>
          <w:lang w:val="en-US" w:eastAsia="zh-CN"/>
        </w:rPr>
        <w:t>0</w:t>
      </w:r>
      <w:r>
        <w:rPr>
          <w:rFonts w:hint="eastAsia" w:asciiTheme="minorEastAsia" w:hAnsiTheme="minorEastAsia"/>
          <w:sz w:val="32"/>
          <w:szCs w:val="32"/>
        </w:rPr>
        <w:t>万元，更新公务用车</w:t>
      </w:r>
      <w:r>
        <w:rPr>
          <w:rFonts w:hint="eastAsia" w:asciiTheme="minorEastAsia" w:hAnsiTheme="minorEastAsia"/>
          <w:sz w:val="32"/>
          <w:szCs w:val="32"/>
          <w:lang w:val="en-US" w:eastAsia="zh-CN"/>
        </w:rPr>
        <w:t>0</w:t>
      </w:r>
      <w:r>
        <w:rPr>
          <w:rFonts w:hint="eastAsia" w:asciiTheme="minorEastAsia" w:hAnsiTheme="minorEastAsia"/>
          <w:sz w:val="32"/>
          <w:szCs w:val="32"/>
        </w:rPr>
        <w:t>辆</w:t>
      </w:r>
      <w:r>
        <w:rPr>
          <w:rFonts w:hint="eastAsia" w:asciiTheme="minorEastAsia" w:hAnsiTheme="minorEastAsia"/>
          <w:color w:val="000000" w:themeColor="text1"/>
          <w:sz w:val="32"/>
          <w:szCs w:val="32"/>
          <w14:textFill>
            <w14:solidFill>
              <w14:schemeClr w14:val="tx1"/>
            </w14:solidFill>
          </w14:textFill>
        </w:rPr>
        <w:t>。</w:t>
      </w:r>
      <w:r>
        <w:rPr>
          <w:rFonts w:hint="eastAsia" w:asciiTheme="minorEastAsia" w:hAnsiTheme="minorEastAsia"/>
          <w:sz w:val="32"/>
          <w:szCs w:val="32"/>
        </w:rPr>
        <w:t>公务用车运行维护费</w:t>
      </w:r>
      <w:r>
        <w:rPr>
          <w:rFonts w:hint="eastAsia" w:asciiTheme="minorEastAsia" w:hAnsiTheme="minorEastAsia"/>
          <w:sz w:val="32"/>
          <w:szCs w:val="32"/>
          <w:lang w:val="en-US" w:eastAsia="zh-CN"/>
        </w:rPr>
        <w:t>0</w:t>
      </w:r>
      <w:r>
        <w:rPr>
          <w:rFonts w:hint="eastAsia" w:asciiTheme="minorEastAsia" w:hAnsiTheme="minorEastAsia"/>
          <w:sz w:val="32"/>
          <w:szCs w:val="32"/>
        </w:rPr>
        <w:t>万元，主要是</w:t>
      </w:r>
      <w:r>
        <w:rPr>
          <w:rFonts w:hint="eastAsia" w:asciiTheme="minorEastAsia" w:hAnsiTheme="minorEastAsia"/>
          <w:sz w:val="32"/>
          <w:szCs w:val="32"/>
          <w:lang w:eastAsia="zh-CN"/>
        </w:rPr>
        <w:t>无</w:t>
      </w:r>
      <w:r>
        <w:rPr>
          <w:rFonts w:hint="eastAsia" w:asciiTheme="minorEastAsia" w:hAnsiTheme="minorEastAsia"/>
          <w:sz w:val="32"/>
          <w:szCs w:val="32"/>
        </w:rPr>
        <w:t>支出，截止2021年12月31日，我单位开支财政拨款的公务用车保有量为</w:t>
      </w:r>
      <w:r>
        <w:rPr>
          <w:rFonts w:hint="eastAsia" w:asciiTheme="minorEastAsia" w:hAnsiTheme="minorEastAsia"/>
          <w:sz w:val="32"/>
          <w:szCs w:val="32"/>
          <w:lang w:val="en-US" w:eastAsia="zh-CN"/>
        </w:rPr>
        <w:t>0</w:t>
      </w:r>
      <w:r>
        <w:rPr>
          <w:rFonts w:hint="eastAsia" w:asciiTheme="minorEastAsia" w:hAnsiTheme="minorEastAsia"/>
          <w:sz w:val="32"/>
          <w:szCs w:val="32"/>
        </w:rPr>
        <w:t>辆。</w:t>
      </w:r>
    </w:p>
    <w:p>
      <w:pPr>
        <w:pStyle w:val="9"/>
        <w:rPr>
          <w:rFonts w:hAnsi="黑体"/>
          <w:b/>
          <w:sz w:val="32"/>
          <w:szCs w:val="32"/>
        </w:rPr>
      </w:pPr>
      <w:r>
        <w:rPr>
          <w:rFonts w:hint="eastAsia" w:hAnsi="黑体"/>
          <w:b/>
          <w:sz w:val="32"/>
          <w:szCs w:val="32"/>
        </w:rPr>
        <w:t>八、政府性基金预算收入支出决算情况</w:t>
      </w:r>
    </w:p>
    <w:p>
      <w:pPr>
        <w:pStyle w:val="9"/>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2021年度政府性基金预算财政拨款收入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万元；年初结转和结余</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万元，项目支出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万元；年末结转和结余</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p>
    <w:p>
      <w:pPr>
        <w:pStyle w:val="9"/>
        <w:rPr>
          <w:rFonts w:hAnsi="黑体"/>
          <w:b/>
          <w:sz w:val="32"/>
          <w:szCs w:val="32"/>
        </w:rPr>
      </w:pPr>
      <w:r>
        <w:rPr>
          <w:rFonts w:hint="eastAsia" w:hAnsi="黑体"/>
          <w:b/>
          <w:sz w:val="32"/>
          <w:szCs w:val="32"/>
        </w:rPr>
        <w:t>九、机关运行经费支出说明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本部门2021年度机关运行经费支出37.7</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万元，比年上年决算数</w:t>
      </w:r>
      <w:r>
        <w:rPr>
          <w:rFonts w:hint="eastAsia" w:asciiTheme="minorEastAsia" w:hAnsiTheme="minorEastAsia" w:eastAsiaTheme="minorEastAsia"/>
          <w:sz w:val="32"/>
          <w:szCs w:val="32"/>
          <w:lang w:eastAsia="zh-CN"/>
        </w:rPr>
        <w:t>增加</w:t>
      </w:r>
      <w:r>
        <w:rPr>
          <w:rFonts w:hint="eastAsia" w:asciiTheme="minorEastAsia" w:hAnsiTheme="minorEastAsia" w:eastAsiaTheme="minorEastAsia"/>
          <w:sz w:val="32"/>
          <w:szCs w:val="32"/>
          <w:lang w:val="en-US" w:eastAsia="zh-CN"/>
        </w:rPr>
        <w:t>26.67</w:t>
      </w:r>
      <w:r>
        <w:rPr>
          <w:rFonts w:hint="eastAsia" w:asciiTheme="minorEastAsia" w:hAnsiTheme="minorEastAsia" w:eastAsiaTheme="minorEastAsia"/>
          <w:sz w:val="32"/>
          <w:szCs w:val="32"/>
        </w:rPr>
        <w:t xml:space="preserve"> 万元，增长</w:t>
      </w:r>
      <w:r>
        <w:rPr>
          <w:rFonts w:hint="eastAsia" w:asciiTheme="minorEastAsia" w:hAnsiTheme="minorEastAsia" w:eastAsiaTheme="minorEastAsia"/>
          <w:sz w:val="32"/>
          <w:szCs w:val="32"/>
          <w:lang w:val="en-US" w:eastAsia="zh-CN"/>
        </w:rPr>
        <w:t>70.74</w:t>
      </w:r>
      <w:r>
        <w:rPr>
          <w:rFonts w:hint="eastAsia" w:asciiTheme="minorEastAsia" w:hAnsiTheme="minorEastAsia" w:eastAsiaTheme="minorEastAsia"/>
          <w:sz w:val="32"/>
          <w:szCs w:val="32"/>
        </w:rPr>
        <w:t>%。主要原因是：</w:t>
      </w:r>
      <w:r>
        <w:rPr>
          <w:rFonts w:hint="eastAsia" w:asciiTheme="minorEastAsia" w:hAnsiTheme="minorEastAsia" w:eastAsiaTheme="minorEastAsia"/>
          <w:sz w:val="32"/>
          <w:szCs w:val="32"/>
          <w:lang w:eastAsia="zh-CN"/>
        </w:rPr>
        <w:t>维修费用的提高税金及服务费的增加</w:t>
      </w:r>
      <w:r>
        <w:rPr>
          <w:rFonts w:hint="eastAsia" w:asciiTheme="minorEastAsia" w:hAnsiTheme="minorEastAsia" w:eastAsiaTheme="minorEastAsia"/>
          <w:sz w:val="32"/>
          <w:szCs w:val="32"/>
        </w:rPr>
        <w:t>。</w:t>
      </w:r>
    </w:p>
    <w:p>
      <w:pPr>
        <w:pStyle w:val="9"/>
        <w:rPr>
          <w:rFonts w:hAnsi="黑体"/>
          <w:b/>
          <w:sz w:val="32"/>
          <w:szCs w:val="32"/>
        </w:rPr>
      </w:pPr>
      <w:r>
        <w:rPr>
          <w:rFonts w:hint="eastAsia" w:hAnsi="黑体"/>
          <w:b/>
          <w:sz w:val="32"/>
          <w:szCs w:val="32"/>
        </w:rPr>
        <w:t>十、一般性支出情况说明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2021年本部门开支会议费</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万元，用于召开</w:t>
      </w:r>
      <w:r>
        <w:rPr>
          <w:rFonts w:hint="eastAsia" w:asciiTheme="minorEastAsia" w:hAnsiTheme="minorEastAsia" w:eastAsiaTheme="minorEastAsia"/>
          <w:sz w:val="32"/>
          <w:szCs w:val="32"/>
          <w:lang w:eastAsia="zh-CN"/>
        </w:rPr>
        <w:t>无</w:t>
      </w:r>
      <w:r>
        <w:rPr>
          <w:rFonts w:hint="eastAsia" w:asciiTheme="minorEastAsia" w:hAnsiTheme="minorEastAsia" w:eastAsiaTheme="minorEastAsia"/>
          <w:sz w:val="32"/>
          <w:szCs w:val="32"/>
        </w:rPr>
        <w:t>会议，人数</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人，内容为</w:t>
      </w:r>
      <w:r>
        <w:rPr>
          <w:rFonts w:hint="eastAsia" w:asciiTheme="minorEastAsia" w:hAnsiTheme="minorEastAsia" w:eastAsiaTheme="minorEastAsia"/>
          <w:sz w:val="32"/>
          <w:szCs w:val="32"/>
          <w:lang w:eastAsia="zh-CN"/>
        </w:rPr>
        <w:t>无</w:t>
      </w:r>
      <w:r>
        <w:rPr>
          <w:rFonts w:hint="eastAsia" w:asciiTheme="minorEastAsia" w:hAnsiTheme="minorEastAsia" w:eastAsiaTheme="minorEastAsia"/>
          <w:sz w:val="32"/>
          <w:szCs w:val="32"/>
        </w:rPr>
        <w:t>；开支培训费</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万元，用于开展</w:t>
      </w:r>
      <w:r>
        <w:rPr>
          <w:rFonts w:hint="eastAsia" w:asciiTheme="minorEastAsia" w:hAnsiTheme="minorEastAsia" w:eastAsiaTheme="minorEastAsia"/>
          <w:sz w:val="32"/>
          <w:szCs w:val="32"/>
          <w:lang w:eastAsia="zh-CN"/>
        </w:rPr>
        <w:t>无</w:t>
      </w:r>
      <w:r>
        <w:rPr>
          <w:rFonts w:hint="eastAsia" w:asciiTheme="minorEastAsia" w:hAnsiTheme="minorEastAsia" w:eastAsiaTheme="minorEastAsia"/>
          <w:sz w:val="32"/>
          <w:szCs w:val="32"/>
        </w:rPr>
        <w:t>培训，人数</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人，内容为</w:t>
      </w:r>
      <w:r>
        <w:rPr>
          <w:rFonts w:hint="eastAsia" w:asciiTheme="minorEastAsia" w:hAnsiTheme="minorEastAsia" w:eastAsiaTheme="minorEastAsia"/>
          <w:sz w:val="32"/>
          <w:szCs w:val="32"/>
          <w:lang w:eastAsia="zh-CN"/>
        </w:rPr>
        <w:t>无</w:t>
      </w:r>
      <w:r>
        <w:rPr>
          <w:rFonts w:hint="eastAsia" w:asciiTheme="minorEastAsia" w:hAnsiTheme="minorEastAsia" w:eastAsiaTheme="minorEastAsia"/>
          <w:sz w:val="32"/>
          <w:szCs w:val="32"/>
        </w:rPr>
        <w:t>；举办</w:t>
      </w:r>
      <w:r>
        <w:rPr>
          <w:rFonts w:hint="eastAsia" w:asciiTheme="minorEastAsia" w:hAnsiTheme="minorEastAsia" w:eastAsiaTheme="minorEastAsia"/>
          <w:sz w:val="32"/>
          <w:szCs w:val="32"/>
          <w:lang w:eastAsia="zh-CN"/>
        </w:rPr>
        <w:t>无</w:t>
      </w:r>
      <w:r>
        <w:rPr>
          <w:rFonts w:hint="eastAsia" w:asciiTheme="minorEastAsia" w:hAnsiTheme="minorEastAsia" w:eastAsiaTheme="minorEastAsia"/>
          <w:sz w:val="32"/>
          <w:szCs w:val="32"/>
        </w:rPr>
        <w:t>等节庆、晚会、论坛、赛事活动，开支</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万元，主要是</w:t>
      </w:r>
      <w:r>
        <w:rPr>
          <w:rFonts w:hint="eastAsia" w:asciiTheme="minorEastAsia" w:hAnsiTheme="minorEastAsia" w:eastAsiaTheme="minorEastAsia"/>
          <w:sz w:val="32"/>
          <w:szCs w:val="32"/>
          <w:lang w:eastAsia="zh-CN"/>
        </w:rPr>
        <w:t>无</w:t>
      </w:r>
      <w:r>
        <w:rPr>
          <w:rFonts w:hint="eastAsia" w:asciiTheme="minorEastAsia" w:hAnsiTheme="minorEastAsia" w:eastAsiaTheme="minorEastAsia"/>
          <w:sz w:val="32"/>
          <w:szCs w:val="32"/>
        </w:rPr>
        <w:t>。</w:t>
      </w:r>
    </w:p>
    <w:p>
      <w:pPr>
        <w:pStyle w:val="9"/>
        <w:rPr>
          <w:rFonts w:hAnsi="黑体"/>
          <w:b/>
          <w:sz w:val="32"/>
          <w:szCs w:val="32"/>
        </w:rPr>
      </w:pPr>
      <w:r>
        <w:rPr>
          <w:rFonts w:hint="eastAsia" w:hAnsi="黑体"/>
          <w:b/>
          <w:sz w:val="32"/>
          <w:szCs w:val="32"/>
        </w:rPr>
        <w:t>十一、政府采购支出说明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本部门2021年度政府采购支出总额</w:t>
      </w:r>
      <w:r>
        <w:rPr>
          <w:rFonts w:hint="eastAsia" w:asciiTheme="minorEastAsia" w:hAnsiTheme="minorEastAsia" w:eastAsiaTheme="minorEastAsia"/>
          <w:sz w:val="32"/>
          <w:szCs w:val="32"/>
          <w:lang w:val="en-US" w:eastAsia="zh-CN"/>
        </w:rPr>
        <w:t>336</w:t>
      </w:r>
      <w:r>
        <w:rPr>
          <w:rFonts w:hint="eastAsia" w:asciiTheme="minorEastAsia" w:hAnsiTheme="minorEastAsia" w:eastAsiaTheme="minorEastAsia"/>
          <w:sz w:val="32"/>
          <w:szCs w:val="32"/>
        </w:rPr>
        <w:t>万元，其中：政府采购货物支出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万元、政府采购工程支出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万元、政府采购服务支出</w:t>
      </w:r>
      <w:r>
        <w:rPr>
          <w:rFonts w:hint="eastAsia" w:asciiTheme="minorEastAsia" w:hAnsiTheme="minorEastAsia" w:eastAsiaTheme="minorEastAsia"/>
          <w:sz w:val="32"/>
          <w:szCs w:val="32"/>
          <w:lang w:val="en-US" w:eastAsia="zh-CN"/>
        </w:rPr>
        <w:t>336</w:t>
      </w:r>
      <w:r>
        <w:rPr>
          <w:rFonts w:hint="eastAsia" w:asciiTheme="minorEastAsia" w:hAnsiTheme="minorEastAsia" w:eastAsiaTheme="minorEastAsia"/>
          <w:sz w:val="32"/>
          <w:szCs w:val="32"/>
        </w:rPr>
        <w:t>万元。授予中小企业合同金额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%，其中：授予小微企业合同金额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万元，占授予中小企业合同金额的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%；货物采购授予中小企业合同金额占货物支出金额的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%，工程采购授予中小企业合同金额占工程支出金额的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%，服务采购授予中小企业合同金额占服务支出金额的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9"/>
        <w:rPr>
          <w:rFonts w:hAnsi="黑体"/>
          <w:b/>
          <w:sz w:val="32"/>
          <w:szCs w:val="32"/>
        </w:rPr>
      </w:pPr>
      <w:r>
        <w:rPr>
          <w:rFonts w:hint="eastAsia" w:hAnsi="黑体"/>
          <w:b/>
          <w:sz w:val="32"/>
          <w:szCs w:val="32"/>
        </w:rPr>
        <w:t>十二、国有资产占用情况说明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截至2021年12月31日，部门共有车辆</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辆，其中，主要领导干部用车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辆，机要通信用车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辆、应急保障用车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辆、执法执勤用车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辆、特种专业技术用车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辆、其他用车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辆，其他用车主要是</w:t>
      </w:r>
      <w:r>
        <w:rPr>
          <w:rFonts w:hint="eastAsia" w:asciiTheme="minorEastAsia" w:hAnsiTheme="minorEastAsia" w:eastAsiaTheme="minorEastAsia"/>
          <w:sz w:val="32"/>
          <w:szCs w:val="32"/>
          <w:lang w:eastAsia="zh-CN"/>
        </w:rPr>
        <w:t>无</w:t>
      </w:r>
      <w:r>
        <w:rPr>
          <w:rFonts w:hint="eastAsia" w:asciiTheme="minorEastAsia" w:hAnsiTheme="minorEastAsia" w:eastAsiaTheme="minorEastAsia"/>
          <w:sz w:val="32"/>
          <w:szCs w:val="32"/>
        </w:rPr>
        <w:t>；单位价值50万元以上通用设备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台（套）；单位价值100万元以上专用设备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w:t>
      </w:r>
    </w:p>
    <w:p>
      <w:pPr>
        <w:pStyle w:val="9"/>
        <w:rPr>
          <w:rFonts w:hAnsi="黑体"/>
          <w:b/>
          <w:sz w:val="32"/>
          <w:szCs w:val="32"/>
        </w:rPr>
      </w:pPr>
      <w:r>
        <w:rPr>
          <w:rFonts w:hint="eastAsia" w:hAnsi="黑体"/>
          <w:b/>
          <w:sz w:val="32"/>
          <w:szCs w:val="32"/>
        </w:rPr>
        <w:t>十三、2021年度预算绩效情况说明</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（1）绩效管理评价工作开展情况</w:t>
      </w:r>
      <w:r>
        <w:rPr>
          <w:rFonts w:hint="eastAsia" w:cs="黑体" w:asciiTheme="minorEastAsia" w:hAnsiTheme="minorEastAsia"/>
          <w:color w:val="000000"/>
          <w:kern w:val="0"/>
          <w:sz w:val="32"/>
          <w:szCs w:val="32"/>
        </w:rPr>
        <w:t>。</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根据预算绩效管理要求，我部门组织对</w:t>
      </w:r>
      <w:r>
        <w:rPr>
          <w:rFonts w:cs="黑体" w:asciiTheme="minorEastAsia" w:hAnsiTheme="minorEastAsia"/>
          <w:color w:val="000000"/>
          <w:kern w:val="0"/>
          <w:sz w:val="32"/>
          <w:szCs w:val="32"/>
        </w:rPr>
        <w:t xml:space="preserve">2021 </w:t>
      </w:r>
      <w:r>
        <w:rPr>
          <w:rFonts w:hint="eastAsia" w:cs="黑体" w:asciiTheme="minorEastAsia" w:hAnsiTheme="minorEastAsia"/>
          <w:color w:val="000000"/>
          <w:kern w:val="0"/>
          <w:sz w:val="32"/>
          <w:szCs w:val="32"/>
        </w:rPr>
        <w:t>年度一般公共预算项目支出全面开展绩效自评，其中，一级项目</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个，二级项目</w:t>
      </w:r>
      <w:r>
        <w:rPr>
          <w:rFonts w:hint="eastAsia" w:cs="黑体" w:asciiTheme="minorEastAsia" w:hAnsiTheme="minorEastAsia"/>
          <w:color w:val="000000"/>
          <w:kern w:val="0"/>
          <w:sz w:val="32"/>
          <w:szCs w:val="32"/>
          <w:lang w:val="en-US" w:eastAsia="zh-CN"/>
        </w:rPr>
        <w:t>1</w:t>
      </w:r>
      <w:r>
        <w:rPr>
          <w:rFonts w:hint="eastAsia" w:cs="黑体" w:asciiTheme="minorEastAsia" w:hAnsiTheme="minorEastAsia"/>
          <w:color w:val="000000"/>
          <w:kern w:val="0"/>
          <w:sz w:val="32"/>
          <w:szCs w:val="32"/>
        </w:rPr>
        <w:t>个，共涉及资金357.53</w:t>
      </w:r>
      <w:r>
        <w:rPr>
          <w:rFonts w:cs="黑体" w:asciiTheme="minorEastAsia" w:hAnsiTheme="minorEastAsia"/>
          <w:color w:val="000000"/>
          <w:kern w:val="0"/>
          <w:sz w:val="32"/>
          <w:szCs w:val="32"/>
        </w:rPr>
        <w:t xml:space="preserve"> </w:t>
      </w:r>
      <w:r>
        <w:rPr>
          <w:rFonts w:hint="eastAsia" w:cs="黑体" w:asciiTheme="minorEastAsia" w:hAnsiTheme="minorEastAsia"/>
          <w:color w:val="000000"/>
          <w:kern w:val="0"/>
          <w:sz w:val="32"/>
          <w:szCs w:val="32"/>
        </w:rPr>
        <w:t>万元，占一般公共预算项目支出总额的</w:t>
      </w:r>
      <w:r>
        <w:rPr>
          <w:rFonts w:hint="eastAsia" w:cs="黑体" w:asciiTheme="minorEastAsia" w:hAnsiTheme="minorEastAsia"/>
          <w:color w:val="000000"/>
          <w:kern w:val="0"/>
          <w:sz w:val="32"/>
          <w:szCs w:val="32"/>
          <w:lang w:val="en-US" w:eastAsia="zh-CN"/>
        </w:rPr>
        <w:t>83.54</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。组织对</w:t>
      </w:r>
      <w:r>
        <w:rPr>
          <w:rFonts w:cs="黑体" w:asciiTheme="minorEastAsia" w:hAnsiTheme="minorEastAsia"/>
          <w:color w:val="000000"/>
          <w:kern w:val="0"/>
          <w:sz w:val="32"/>
          <w:szCs w:val="32"/>
        </w:rPr>
        <w:t>2021</w:t>
      </w:r>
      <w:r>
        <w:rPr>
          <w:rFonts w:hint="eastAsia" w:cs="黑体" w:asciiTheme="minorEastAsia" w:hAnsiTheme="minorEastAsia"/>
          <w:color w:val="000000"/>
          <w:kern w:val="0"/>
          <w:sz w:val="32"/>
          <w:szCs w:val="32"/>
        </w:rPr>
        <w:t>年度</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个政府性基金预算项目支出开展绩效自评，共涉及资金</w:t>
      </w:r>
      <w:r>
        <w:rPr>
          <w:rFonts w:hint="eastAsia" w:cs="黑体" w:asciiTheme="minorEastAsia" w:hAnsiTheme="minorEastAsia"/>
          <w:color w:val="000000"/>
          <w:kern w:val="0"/>
          <w:sz w:val="32"/>
          <w:szCs w:val="32"/>
          <w:lang w:val="en-US" w:eastAsia="zh-CN"/>
        </w:rPr>
        <w:t>0</w:t>
      </w:r>
      <w:r>
        <w:rPr>
          <w:rFonts w:cs="黑体" w:asciiTheme="minorEastAsia" w:hAnsiTheme="minorEastAsia"/>
          <w:color w:val="000000"/>
          <w:kern w:val="0"/>
          <w:sz w:val="32"/>
          <w:szCs w:val="32"/>
        </w:rPr>
        <w:t xml:space="preserve"> </w:t>
      </w:r>
      <w:r>
        <w:rPr>
          <w:rFonts w:hint="eastAsia" w:cs="黑体" w:asciiTheme="minorEastAsia" w:hAnsiTheme="minorEastAsia"/>
          <w:color w:val="000000"/>
          <w:kern w:val="0"/>
          <w:sz w:val="32"/>
          <w:szCs w:val="32"/>
        </w:rPr>
        <w:t>万元，占政府性基金预算项目支出总额的</w:t>
      </w:r>
      <w:r>
        <w:rPr>
          <w:rFonts w:hint="eastAsia" w:cs="黑体" w:asciiTheme="minorEastAsia" w:hAnsiTheme="minorEastAsia"/>
          <w:color w:val="000000"/>
          <w:kern w:val="0"/>
          <w:sz w:val="32"/>
          <w:szCs w:val="32"/>
          <w:lang w:val="en-US" w:eastAsia="zh-CN"/>
        </w:rPr>
        <w:t>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。组织对</w:t>
      </w:r>
      <w:r>
        <w:rPr>
          <w:rFonts w:cs="黑体" w:asciiTheme="minorEastAsia" w:hAnsiTheme="minorEastAsia"/>
          <w:color w:val="000000"/>
          <w:kern w:val="0"/>
          <w:sz w:val="32"/>
          <w:szCs w:val="32"/>
        </w:rPr>
        <w:t xml:space="preserve">2021 </w:t>
      </w:r>
      <w:r>
        <w:rPr>
          <w:rFonts w:hint="eastAsia" w:cs="黑体" w:asciiTheme="minorEastAsia" w:hAnsiTheme="minorEastAsia"/>
          <w:color w:val="000000"/>
          <w:kern w:val="0"/>
          <w:sz w:val="32"/>
          <w:szCs w:val="32"/>
        </w:rPr>
        <w:t>年度</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个国有资本经营预算项目支出开展绩效自评，共涉及资金</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万元，占国有资本经营预算项目支出总额的</w:t>
      </w:r>
      <w:r>
        <w:rPr>
          <w:rFonts w:hint="eastAsia" w:cs="黑体" w:asciiTheme="minorEastAsia" w:hAnsiTheme="minorEastAsia"/>
          <w:color w:val="000000"/>
          <w:kern w:val="0"/>
          <w:sz w:val="32"/>
          <w:szCs w:val="32"/>
          <w:lang w:val="en-US" w:eastAsia="zh-CN"/>
        </w:rPr>
        <w:t>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w:t>
      </w:r>
    </w:p>
    <w:p>
      <w:pPr>
        <w:autoSpaceDE w:val="0"/>
        <w:autoSpaceDN w:val="0"/>
        <w:adjustRightInd w:val="0"/>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组织对</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个项目开展了部门评价，涉及一般公共预算支出</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万元，政府性基金预算支出</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万元，国有资本经营预算支出</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w:t>
      </w:r>
    </w:p>
    <w:p>
      <w:pPr>
        <w:autoSpaceDE w:val="0"/>
        <w:autoSpaceDN w:val="0"/>
        <w:adjustRightInd w:val="0"/>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组织对</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个单位开展整体支出绩效评价，涉及一般公共预算支出</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万元，政府性基金预算支出</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w:t>
      </w:r>
    </w:p>
    <w:p>
      <w:pPr>
        <w:autoSpaceDE w:val="0"/>
        <w:autoSpaceDN w:val="0"/>
        <w:adjustRightInd w:val="0"/>
        <w:ind w:firstLine="640" w:firstLineChars="200"/>
        <w:jc w:val="left"/>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（2）部门决算中项目绩效自评结果。</w:t>
      </w:r>
    </w:p>
    <w:p>
      <w:pPr>
        <w:ind w:firstLine="800" w:firstLineChars="25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lang w:eastAsia="zh-CN"/>
        </w:rPr>
        <w:t>殡葬成本</w:t>
      </w:r>
      <w:r>
        <w:rPr>
          <w:rFonts w:hint="eastAsia" w:cs="黑体" w:asciiTheme="minorEastAsia" w:hAnsiTheme="minorEastAsia"/>
          <w:color w:val="000000"/>
          <w:kern w:val="0"/>
          <w:sz w:val="32"/>
          <w:szCs w:val="32"/>
        </w:rPr>
        <w:t>项目绩效自评综述：根据年初设定的绩效目标，项目绩效自评得分为</w:t>
      </w:r>
      <w:r>
        <w:rPr>
          <w:rFonts w:hint="eastAsia" w:cs="黑体" w:asciiTheme="minorEastAsia" w:hAnsiTheme="minorEastAsia"/>
          <w:color w:val="000000"/>
          <w:kern w:val="0"/>
          <w:sz w:val="32"/>
          <w:szCs w:val="32"/>
          <w:lang w:val="en-US" w:eastAsia="zh-CN"/>
        </w:rPr>
        <w:t>100</w:t>
      </w:r>
      <w:r>
        <w:rPr>
          <w:rFonts w:hint="eastAsia" w:cs="黑体" w:asciiTheme="minorEastAsia" w:hAnsiTheme="minorEastAsia"/>
          <w:color w:val="000000"/>
          <w:kern w:val="0"/>
          <w:sz w:val="32"/>
          <w:szCs w:val="32"/>
        </w:rPr>
        <w:t>分。项目全年预算数为</w:t>
      </w:r>
      <w:r>
        <w:rPr>
          <w:rFonts w:hint="eastAsia" w:cs="黑体" w:asciiTheme="minorEastAsia" w:hAnsiTheme="minorEastAsia"/>
          <w:color w:val="000000"/>
          <w:kern w:val="0"/>
          <w:sz w:val="32"/>
          <w:szCs w:val="32"/>
          <w:lang w:val="en-US" w:eastAsia="zh-CN"/>
        </w:rPr>
        <w:t>336</w:t>
      </w:r>
      <w:r>
        <w:rPr>
          <w:rFonts w:hint="eastAsia" w:cs="黑体" w:asciiTheme="minorEastAsia" w:hAnsiTheme="minorEastAsia"/>
          <w:color w:val="000000"/>
          <w:kern w:val="0"/>
          <w:sz w:val="32"/>
          <w:szCs w:val="32"/>
        </w:rPr>
        <w:t>万元，执行数为</w:t>
      </w:r>
      <w:r>
        <w:rPr>
          <w:rFonts w:hint="eastAsia" w:cs="黑体" w:asciiTheme="minorEastAsia" w:hAnsiTheme="minorEastAsia"/>
          <w:color w:val="000000"/>
          <w:kern w:val="0"/>
          <w:sz w:val="32"/>
          <w:szCs w:val="32"/>
          <w:lang w:val="en-US" w:eastAsia="zh-CN"/>
        </w:rPr>
        <w:t>336</w:t>
      </w:r>
      <w:r>
        <w:rPr>
          <w:rFonts w:hint="eastAsia" w:cs="黑体" w:asciiTheme="minorEastAsia" w:hAnsiTheme="minorEastAsia"/>
          <w:color w:val="000000"/>
          <w:kern w:val="0"/>
          <w:sz w:val="32"/>
          <w:szCs w:val="32"/>
        </w:rPr>
        <w:t>万元，完成预算的</w:t>
      </w:r>
      <w:r>
        <w:rPr>
          <w:rFonts w:hint="eastAsia" w:cs="黑体" w:asciiTheme="minorEastAsia" w:hAnsiTheme="minorEastAsia"/>
          <w:color w:val="000000"/>
          <w:kern w:val="0"/>
          <w:sz w:val="32"/>
          <w:szCs w:val="32"/>
          <w:lang w:val="en-US" w:eastAsia="zh-CN"/>
        </w:rPr>
        <w:t>100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。项目绩效目标完成情况：一是执行了年初部门预算和财政政策要求</w:t>
      </w:r>
      <w:r>
        <w:rPr>
          <w:rFonts w:hint="eastAsia" w:cs="黑体" w:asciiTheme="minorEastAsia" w:hAnsiTheme="minorEastAsia"/>
          <w:color w:val="000000"/>
          <w:kern w:val="0"/>
          <w:sz w:val="32"/>
          <w:szCs w:val="32"/>
        </w:rPr>
        <w:t>；二是认真落实了有关资金要求。</w:t>
      </w:r>
      <w:r>
        <w:rPr>
          <w:rFonts w:hint="eastAsia" w:cs="黑体" w:asciiTheme="minorEastAsia" w:hAnsiTheme="minorEastAsia"/>
          <w:color w:val="000000"/>
          <w:kern w:val="0"/>
          <w:sz w:val="32"/>
          <w:szCs w:val="32"/>
        </w:rPr>
        <w:t>发现的主要问题及原因：一是预算标准与部门支出有差距</w:t>
      </w:r>
      <w:r>
        <w:rPr>
          <w:rFonts w:hint="eastAsia" w:cs="黑体" w:asciiTheme="minorEastAsia" w:hAnsiTheme="minorEastAsia"/>
          <w:color w:val="000000"/>
          <w:kern w:val="0"/>
          <w:sz w:val="32"/>
          <w:szCs w:val="32"/>
        </w:rPr>
        <w:t>；二是财政收支矛盾仍然突出</w:t>
      </w:r>
      <w:r>
        <w:rPr>
          <w:rFonts w:hint="eastAsia" w:cs="黑体" w:asciiTheme="minorEastAsia" w:hAnsiTheme="minorEastAsia"/>
          <w:color w:val="000000"/>
          <w:kern w:val="0"/>
          <w:sz w:val="32"/>
          <w:szCs w:val="32"/>
        </w:rPr>
        <w:t>。下一步改进措施：一是维护管理更进一步加强</w:t>
      </w:r>
      <w:r>
        <w:rPr>
          <w:rFonts w:hint="eastAsia" w:cs="黑体" w:asciiTheme="minorEastAsia" w:hAnsiTheme="minorEastAsia"/>
          <w:color w:val="000000"/>
          <w:kern w:val="0"/>
          <w:sz w:val="32"/>
          <w:szCs w:val="32"/>
        </w:rPr>
        <w:t>；二是加强管理，严控支出</w:t>
      </w:r>
      <w:r>
        <w:rPr>
          <w:rFonts w:hint="eastAsia" w:cs="黑体" w:asciiTheme="minorEastAsia" w:hAnsiTheme="minorEastAsia"/>
          <w:color w:val="000000"/>
          <w:kern w:val="0"/>
          <w:sz w:val="32"/>
          <w:szCs w:val="32"/>
        </w:rPr>
        <w:t>。</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w:t>
      </w:r>
      <w:r>
        <w:rPr>
          <w:rFonts w:cs="黑体" w:asciiTheme="minorEastAsia" w:hAnsiTheme="minorEastAsia"/>
          <w:b/>
          <w:color w:val="000000"/>
          <w:kern w:val="0"/>
          <w:sz w:val="32"/>
          <w:szCs w:val="32"/>
        </w:rPr>
        <w:t>3</w:t>
      </w:r>
      <w:r>
        <w:rPr>
          <w:rFonts w:hint="eastAsia" w:cs="黑体" w:asciiTheme="minorEastAsia" w:hAnsiTheme="minorEastAsia"/>
          <w:b/>
          <w:color w:val="000000"/>
          <w:kern w:val="0"/>
          <w:sz w:val="32"/>
          <w:szCs w:val="32"/>
        </w:rPr>
        <w:t>）部门评价项目绩效评价结果。</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部门评价项目数量</w:t>
      </w:r>
      <w:r>
        <w:rPr>
          <w:rFonts w:cs="黑体" w:asciiTheme="minorEastAsia" w:hAnsiTheme="minorEastAsia"/>
          <w:color w:val="000000"/>
          <w:kern w:val="0"/>
          <w:sz w:val="32"/>
          <w:szCs w:val="32"/>
        </w:rPr>
        <w:t>3</w:t>
      </w:r>
      <w:r>
        <w:rPr>
          <w:rFonts w:hint="eastAsia" w:cs="黑体" w:asciiTheme="minorEastAsia" w:hAnsiTheme="minorEastAsia"/>
          <w:color w:val="000000"/>
          <w:kern w:val="0"/>
          <w:sz w:val="32"/>
          <w:szCs w:val="32"/>
        </w:rPr>
        <w:t>个以内的，至少将</w:t>
      </w:r>
      <w:r>
        <w:rPr>
          <w:rFonts w:cs="黑体" w:asciiTheme="minorEastAsia" w:hAnsiTheme="minorEastAsia"/>
          <w:color w:val="000000"/>
          <w:kern w:val="0"/>
          <w:sz w:val="32"/>
          <w:szCs w:val="32"/>
        </w:rPr>
        <w:t xml:space="preserve">1 </w:t>
      </w:r>
      <w:r>
        <w:rPr>
          <w:rFonts w:hint="eastAsia" w:cs="黑体" w:asciiTheme="minorEastAsia" w:hAnsiTheme="minorEastAsia"/>
          <w:color w:val="000000"/>
          <w:kern w:val="0"/>
          <w:sz w:val="32"/>
          <w:szCs w:val="32"/>
        </w:rPr>
        <w:t>个部门评价报告向社会公开；部门评价项目数量大于</w:t>
      </w:r>
      <w:r>
        <w:rPr>
          <w:rFonts w:cs="黑体" w:asciiTheme="minorEastAsia" w:hAnsiTheme="minorEastAsia"/>
          <w:color w:val="000000"/>
          <w:kern w:val="0"/>
          <w:sz w:val="32"/>
          <w:szCs w:val="32"/>
        </w:rPr>
        <w:t xml:space="preserve">3 </w:t>
      </w:r>
      <w:r>
        <w:rPr>
          <w:rFonts w:hint="eastAsia" w:cs="黑体" w:asciiTheme="minorEastAsia" w:hAnsiTheme="minorEastAsia"/>
          <w:color w:val="000000"/>
          <w:kern w:val="0"/>
          <w:sz w:val="32"/>
          <w:szCs w:val="32"/>
        </w:rPr>
        <w:t>个的，至少将</w:t>
      </w:r>
      <w:r>
        <w:rPr>
          <w:rFonts w:cs="黑体" w:asciiTheme="minorEastAsia" w:hAnsiTheme="minorEastAsia"/>
          <w:color w:val="000000"/>
          <w:kern w:val="0"/>
          <w:sz w:val="32"/>
          <w:szCs w:val="32"/>
        </w:rPr>
        <w:t xml:space="preserve">2 </w:t>
      </w:r>
      <w:r>
        <w:rPr>
          <w:rFonts w:hint="eastAsia" w:cs="黑体" w:asciiTheme="minorEastAsia" w:hAnsiTheme="minorEastAsia"/>
          <w:color w:val="000000"/>
          <w:kern w:val="0"/>
          <w:sz w:val="32"/>
          <w:szCs w:val="32"/>
        </w:rPr>
        <w:t>个部门评价报告向社会公开。报告框架可参考《项目支出绩效评价办法》（财预〔</w:t>
      </w:r>
      <w:r>
        <w:rPr>
          <w:rFonts w:cs="黑体" w:asciiTheme="minorEastAsia" w:hAnsiTheme="minorEastAsia"/>
          <w:color w:val="000000"/>
          <w:kern w:val="0"/>
          <w:sz w:val="32"/>
          <w:szCs w:val="32"/>
        </w:rPr>
        <w:t>2020</w:t>
      </w:r>
      <w:r>
        <w:rPr>
          <w:rFonts w:hint="eastAsia" w:cs="黑体" w:asciiTheme="minorEastAsia" w:hAnsiTheme="minorEastAsia"/>
          <w:color w:val="000000"/>
          <w:kern w:val="0"/>
          <w:sz w:val="32"/>
          <w:szCs w:val="32"/>
        </w:rPr>
        <w:t>〕</w:t>
      </w:r>
      <w:r>
        <w:rPr>
          <w:rFonts w:cs="黑体" w:asciiTheme="minorEastAsia" w:hAnsiTheme="minorEastAsia"/>
          <w:color w:val="000000"/>
          <w:kern w:val="0"/>
          <w:sz w:val="32"/>
          <w:szCs w:val="32"/>
        </w:rPr>
        <w:t xml:space="preserve">10 </w:t>
      </w:r>
      <w:r>
        <w:rPr>
          <w:rFonts w:hint="eastAsia" w:cs="黑体" w:asciiTheme="minorEastAsia" w:hAnsiTheme="minorEastAsia"/>
          <w:color w:val="000000"/>
          <w:kern w:val="0"/>
          <w:sz w:val="32"/>
          <w:szCs w:val="32"/>
        </w:rPr>
        <w:t>号）中《项目支出绩效评价报告（参考提纲）》、《湖南省预算支出绩效评价管理办法》（湘财绩〔</w:t>
      </w:r>
      <w:r>
        <w:rPr>
          <w:rFonts w:cs="黑体" w:asciiTheme="minorEastAsia" w:hAnsiTheme="minorEastAsia"/>
          <w:color w:val="000000"/>
          <w:kern w:val="0"/>
          <w:sz w:val="32"/>
          <w:szCs w:val="32"/>
        </w:rPr>
        <w:t>2020</w:t>
      </w:r>
      <w:r>
        <w:rPr>
          <w:rFonts w:hint="eastAsia" w:cs="黑体" w:asciiTheme="minorEastAsia" w:hAnsiTheme="minorEastAsia"/>
          <w:color w:val="000000"/>
          <w:kern w:val="0"/>
          <w:sz w:val="32"/>
          <w:szCs w:val="32"/>
        </w:rPr>
        <w:t>〕7号）。</w:t>
      </w: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rPr>
          <w:sz w:val="72"/>
          <w:szCs w:val="72"/>
        </w:rPr>
      </w:pPr>
    </w:p>
    <w:p>
      <w:pPr>
        <w:pStyle w:val="9"/>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ind w:firstLine="640" w:firstLineChars="200"/>
        <w:jc w:val="left"/>
        <w:rPr>
          <w:rFonts w:cs="黑体" w:asciiTheme="minorEastAsia" w:hAnsiTheme="minorEastAsia"/>
          <w:color w:val="000000"/>
          <w:kern w:val="0"/>
          <w:sz w:val="32"/>
          <w:szCs w:val="32"/>
        </w:rPr>
      </w:pPr>
    </w:p>
    <w:p>
      <w:pPr>
        <w:ind w:firstLine="643"/>
        <w:jc w:val="left"/>
        <w:rPr>
          <w:rFonts w:ascii="仿宋" w:hAnsi="仿宋" w:eastAsia="仿宋" w:cs="仿宋"/>
          <w:sz w:val="32"/>
        </w:rPr>
      </w:pPr>
      <w:r>
        <w:rPr>
          <w:rFonts w:ascii="仿宋" w:hAnsi="仿宋" w:eastAsia="仿宋" w:cs="仿宋"/>
          <w:b/>
          <w:sz w:val="32"/>
        </w:rPr>
        <w:t>一、财政拨款收入：</w:t>
      </w:r>
      <w:r>
        <w:rPr>
          <w:rFonts w:ascii="仿宋" w:hAnsi="仿宋" w:eastAsia="仿宋" w:cs="仿宋"/>
          <w:sz w:val="32"/>
        </w:rPr>
        <w:t xml:space="preserve">指中央财政当年拨付的资金。 </w:t>
      </w:r>
    </w:p>
    <w:p>
      <w:pPr>
        <w:ind w:firstLine="643"/>
        <w:jc w:val="left"/>
        <w:rPr>
          <w:rFonts w:ascii="仿宋" w:hAnsi="仿宋" w:eastAsia="仿宋" w:cs="仿宋"/>
          <w:sz w:val="32"/>
        </w:rPr>
      </w:pPr>
      <w:r>
        <w:rPr>
          <w:rFonts w:ascii="仿宋" w:hAnsi="仿宋" w:eastAsia="仿宋" w:cs="仿宋"/>
          <w:b/>
          <w:sz w:val="32"/>
        </w:rPr>
        <w:t>二、事业收入：</w:t>
      </w:r>
      <w:r>
        <w:rPr>
          <w:rFonts w:ascii="仿宋" w:hAnsi="仿宋" w:eastAsia="仿宋" w:cs="仿宋"/>
          <w:sz w:val="32"/>
        </w:rPr>
        <w:t xml:space="preserve">指事业单位开展专业业务活动及辅助活动所取得的收入。如：中国财政杂志社的刊物发行收入，中国注册会计师协会、中国资产评估协会、中国国债协会、中国会计学会收取的会费收入等。 </w:t>
      </w:r>
    </w:p>
    <w:p>
      <w:pPr>
        <w:ind w:firstLine="643"/>
        <w:jc w:val="left"/>
        <w:rPr>
          <w:rFonts w:ascii="仿宋" w:hAnsi="仿宋" w:eastAsia="仿宋" w:cs="仿宋"/>
          <w:sz w:val="32"/>
        </w:rPr>
      </w:pPr>
      <w:r>
        <w:rPr>
          <w:rFonts w:ascii="仿宋" w:hAnsi="仿宋" w:eastAsia="仿宋" w:cs="仿宋"/>
          <w:b/>
          <w:sz w:val="32"/>
        </w:rPr>
        <w:t>三、经营收入：</w:t>
      </w:r>
      <w:r>
        <w:rPr>
          <w:rFonts w:ascii="仿宋" w:hAnsi="仿宋" w:eastAsia="仿宋" w:cs="仿宋"/>
          <w:sz w:val="32"/>
        </w:rPr>
        <w:t xml:space="preserve">指事业单位在专业业务活动及其辅助活动之外开展非独立核算经营活动取得的收入。如：中国财政杂志社广告收入等。 </w:t>
      </w:r>
    </w:p>
    <w:p>
      <w:pPr>
        <w:ind w:firstLine="643"/>
        <w:jc w:val="left"/>
        <w:rPr>
          <w:rFonts w:ascii="仿宋" w:hAnsi="仿宋" w:eastAsia="仿宋" w:cs="仿宋"/>
          <w:sz w:val="32"/>
        </w:rPr>
      </w:pPr>
      <w:r>
        <w:rPr>
          <w:rFonts w:ascii="仿宋" w:hAnsi="仿宋" w:eastAsia="仿宋" w:cs="仿宋"/>
          <w:b/>
          <w:sz w:val="32"/>
        </w:rPr>
        <w:t>四、其他收入：</w:t>
      </w:r>
      <w:r>
        <w:rPr>
          <w:rFonts w:ascii="仿宋" w:hAnsi="仿宋" w:eastAsia="仿宋" w:cs="仿宋"/>
          <w:sz w:val="32"/>
        </w:rPr>
        <w:t xml:space="preserve">指除上述“财政拨款收入” 、 “事业收入” 、“经营收入”等以外的收入。主要是按规定动用的售房收入、存款利息收入等。 </w:t>
      </w:r>
    </w:p>
    <w:p>
      <w:pPr>
        <w:ind w:firstLine="643"/>
        <w:jc w:val="left"/>
        <w:rPr>
          <w:rFonts w:ascii="仿宋" w:hAnsi="仿宋" w:eastAsia="仿宋" w:cs="仿宋"/>
          <w:sz w:val="32"/>
        </w:rPr>
      </w:pPr>
      <w:r>
        <w:rPr>
          <w:rFonts w:ascii="仿宋" w:hAnsi="仿宋" w:eastAsia="仿宋" w:cs="仿宋"/>
          <w:b/>
          <w:sz w:val="32"/>
        </w:rPr>
        <w:t>五、用事业基金弥补收支差额：</w:t>
      </w:r>
      <w:r>
        <w:rPr>
          <w:rFonts w:ascii="仿宋" w:hAnsi="仿宋" w:eastAsia="仿宋" w:cs="仿宋"/>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ind w:firstLine="643"/>
        <w:jc w:val="left"/>
        <w:rPr>
          <w:rFonts w:ascii="仿宋" w:hAnsi="仿宋" w:eastAsia="仿宋" w:cs="仿宋"/>
          <w:sz w:val="32"/>
        </w:rPr>
      </w:pPr>
      <w:r>
        <w:rPr>
          <w:rFonts w:ascii="仿宋" w:hAnsi="仿宋" w:eastAsia="仿宋" w:cs="仿宋"/>
          <w:b/>
          <w:sz w:val="32"/>
        </w:rPr>
        <w:t>六、年初结转和结余：</w:t>
      </w:r>
      <w:r>
        <w:rPr>
          <w:rFonts w:ascii="仿宋" w:hAnsi="仿宋" w:eastAsia="仿宋" w:cs="仿宋"/>
          <w:sz w:val="32"/>
        </w:rPr>
        <w:t xml:space="preserve">指以前年度尚未完成、结转到本年按有关规定继续使用的资金。 </w:t>
      </w:r>
    </w:p>
    <w:p>
      <w:pPr>
        <w:ind w:firstLine="643"/>
        <w:jc w:val="left"/>
        <w:rPr>
          <w:rFonts w:ascii="仿宋" w:hAnsi="仿宋" w:eastAsia="仿宋" w:cs="仿宋"/>
          <w:sz w:val="32"/>
        </w:rPr>
      </w:pPr>
      <w:r>
        <w:rPr>
          <w:rFonts w:ascii="仿宋" w:hAnsi="仿宋" w:eastAsia="仿宋" w:cs="仿宋"/>
          <w:b/>
          <w:sz w:val="32"/>
        </w:rPr>
        <w:t>七、结余分配：</w:t>
      </w:r>
      <w:r>
        <w:rPr>
          <w:rFonts w:ascii="仿宋" w:hAnsi="仿宋" w:eastAsia="仿宋" w:cs="仿宋"/>
          <w:sz w:val="32"/>
        </w:rPr>
        <w:t>指事业单位按规定提取的职工福利基金、事业基金和缴纳的所得税，以及建设单位按规定应交回的基本建设竣工项目结余资金。</w:t>
      </w:r>
    </w:p>
    <w:p>
      <w:pPr>
        <w:ind w:firstLine="643"/>
        <w:jc w:val="left"/>
        <w:rPr>
          <w:rFonts w:ascii="仿宋" w:hAnsi="仿宋" w:eastAsia="仿宋" w:cs="仿宋"/>
          <w:sz w:val="32"/>
        </w:rPr>
      </w:pPr>
      <w:r>
        <w:rPr>
          <w:rFonts w:ascii="仿宋" w:hAnsi="仿宋" w:eastAsia="仿宋" w:cs="仿宋"/>
          <w:b/>
          <w:sz w:val="32"/>
        </w:rPr>
        <w:t>八、年末结转和结余：</w:t>
      </w:r>
      <w:r>
        <w:rPr>
          <w:rFonts w:ascii="仿宋" w:hAnsi="仿宋" w:eastAsia="仿宋" w:cs="仿宋"/>
          <w:sz w:val="32"/>
        </w:rPr>
        <w:t xml:space="preserve">指本年度或以前年度预算安排、因客观条件发生变化无法按原计划实施，需要延迟到以后年度按有关规定继续使用的资金。 </w:t>
      </w:r>
    </w:p>
    <w:p>
      <w:pPr>
        <w:ind w:firstLine="643"/>
        <w:jc w:val="left"/>
        <w:rPr>
          <w:rFonts w:ascii="仿宋" w:hAnsi="仿宋" w:eastAsia="仿宋" w:cs="仿宋"/>
          <w:sz w:val="32"/>
        </w:rPr>
      </w:pPr>
      <w:r>
        <w:rPr>
          <w:rFonts w:ascii="仿宋" w:hAnsi="仿宋" w:eastAsia="仿宋" w:cs="仿宋"/>
          <w:b/>
          <w:sz w:val="32"/>
        </w:rPr>
        <w:t>九、基本支出：</w:t>
      </w:r>
      <w:r>
        <w:rPr>
          <w:rFonts w:ascii="仿宋" w:hAnsi="仿宋" w:eastAsia="仿宋" w:cs="仿宋"/>
          <w:sz w:val="32"/>
        </w:rPr>
        <w:t>指为保障机构正常运转、完成日常工</w:t>
      </w:r>
    </w:p>
    <w:p>
      <w:pPr>
        <w:jc w:val="left"/>
        <w:rPr>
          <w:rFonts w:ascii="仿宋" w:hAnsi="仿宋" w:eastAsia="仿宋" w:cs="仿宋"/>
          <w:sz w:val="32"/>
        </w:rPr>
      </w:pPr>
      <w:r>
        <w:rPr>
          <w:rFonts w:ascii="仿宋" w:hAnsi="仿宋" w:eastAsia="仿宋" w:cs="仿宋"/>
          <w:sz w:val="32"/>
        </w:rPr>
        <w:t xml:space="preserve">作任务而发生的人员支出和公用支出。 </w:t>
      </w:r>
    </w:p>
    <w:p>
      <w:pPr>
        <w:ind w:firstLine="643"/>
        <w:jc w:val="left"/>
        <w:rPr>
          <w:rFonts w:ascii="仿宋" w:hAnsi="仿宋" w:eastAsia="仿宋" w:cs="仿宋"/>
          <w:sz w:val="32"/>
        </w:rPr>
      </w:pPr>
      <w:r>
        <w:rPr>
          <w:rFonts w:ascii="仿宋" w:hAnsi="仿宋" w:eastAsia="仿宋" w:cs="仿宋"/>
          <w:b/>
          <w:sz w:val="32"/>
        </w:rPr>
        <w:t>十、项目支出：</w:t>
      </w:r>
      <w:r>
        <w:rPr>
          <w:rFonts w:ascii="仿宋" w:hAnsi="仿宋" w:eastAsia="仿宋" w:cs="仿宋"/>
          <w:sz w:val="32"/>
        </w:rPr>
        <w:t xml:space="preserve">指在基本支出之外为完成特定行政任务和事业发展目标所发生的支出。 </w:t>
      </w:r>
    </w:p>
    <w:p>
      <w:pPr>
        <w:ind w:firstLine="643"/>
        <w:jc w:val="left"/>
        <w:rPr>
          <w:rFonts w:ascii="仿宋" w:hAnsi="仿宋" w:eastAsia="仿宋" w:cs="仿宋"/>
          <w:sz w:val="32"/>
        </w:rPr>
      </w:pPr>
      <w:r>
        <w:rPr>
          <w:rFonts w:ascii="仿宋" w:hAnsi="仿宋" w:eastAsia="仿宋" w:cs="仿宋"/>
          <w:b/>
          <w:sz w:val="32"/>
        </w:rPr>
        <w:t>十一、经营支出：</w:t>
      </w:r>
      <w:r>
        <w:rPr>
          <w:rFonts w:ascii="仿宋" w:hAnsi="仿宋" w:eastAsia="仿宋" w:cs="仿宋"/>
          <w:sz w:val="32"/>
        </w:rPr>
        <w:t xml:space="preserve">指事业单位在专业业务活动及其辅助活动之外开展非独立核算经营活动发生的支出。 </w:t>
      </w:r>
    </w:p>
    <w:p>
      <w:pPr>
        <w:ind w:firstLine="643"/>
        <w:jc w:val="left"/>
        <w:rPr>
          <w:rFonts w:ascii="仿宋" w:hAnsi="仿宋" w:eastAsia="仿宋" w:cs="仿宋"/>
          <w:sz w:val="32"/>
        </w:rPr>
      </w:pPr>
      <w:r>
        <w:rPr>
          <w:rFonts w:ascii="仿宋" w:hAnsi="仿宋" w:eastAsia="仿宋" w:cs="仿宋"/>
          <w:b/>
          <w:sz w:val="32"/>
        </w:rPr>
        <w:t>十二、“三公”经费：</w:t>
      </w:r>
      <w:r>
        <w:rPr>
          <w:rFonts w:ascii="仿宋" w:hAnsi="仿宋" w:eastAsia="仿宋" w:cs="仿宋"/>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3"/>
        <w:jc w:val="left"/>
        <w:rPr>
          <w:sz w:val="72"/>
          <w:szCs w:val="72"/>
        </w:rPr>
      </w:pPr>
      <w:r>
        <w:rPr>
          <w:rFonts w:ascii="仿宋" w:hAnsi="仿宋" w:eastAsia="仿宋" w:cs="仿宋"/>
          <w:b/>
          <w:sz w:val="32"/>
        </w:rPr>
        <w:t>十三、机关运行经费：</w:t>
      </w:r>
      <w:r>
        <w:rPr>
          <w:rFonts w:ascii="仿宋" w:hAnsi="仿宋" w:eastAsia="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jc w:val="center"/>
        <w:rPr>
          <w:rFonts w:ascii="黑体" w:eastAsia="黑体" w:cs="黑体"/>
          <w:color w:val="000000"/>
          <w:kern w:val="0"/>
          <w:sz w:val="70"/>
          <w:szCs w:val="70"/>
        </w:rPr>
      </w:pPr>
    </w:p>
    <w:p>
      <w:pPr>
        <w:ind w:firstLine="640" w:firstLineChars="200"/>
        <w:jc w:val="left"/>
        <w:rPr>
          <w:rFonts w:hint="eastAsia" w:cs="黑体" w:asciiTheme="minorEastAsia" w:hAnsiTheme="minorEastAsia"/>
          <w:b/>
          <w:color w:val="000000"/>
          <w:kern w:val="0"/>
          <w:sz w:val="32"/>
          <w:szCs w:val="32"/>
        </w:rPr>
      </w:pPr>
      <w:r>
        <w:rPr>
          <w:rFonts w:hint="eastAsia" w:cs="黑体" w:asciiTheme="minorEastAsia" w:hAnsiTheme="minorEastAsia"/>
          <w:b/>
          <w:color w:val="000000"/>
          <w:kern w:val="0"/>
          <w:sz w:val="32"/>
          <w:szCs w:val="32"/>
          <w:lang w:val="en-US" w:eastAsia="zh-CN"/>
        </w:rPr>
        <w:t>1、</w:t>
      </w:r>
      <w:r>
        <w:rPr>
          <w:rFonts w:hint="eastAsia" w:cs="黑体" w:asciiTheme="minorEastAsia" w:hAnsiTheme="minorEastAsia"/>
          <w:b/>
          <w:color w:val="000000"/>
          <w:kern w:val="0"/>
          <w:sz w:val="32"/>
          <w:szCs w:val="32"/>
        </w:rPr>
        <w:t>2021年度部门整体支出绩</w:t>
      </w:r>
      <w:bookmarkStart w:id="3" w:name="_GoBack"/>
      <w:bookmarkEnd w:id="3"/>
      <w:r>
        <w:rPr>
          <w:rFonts w:hint="eastAsia" w:cs="黑体" w:asciiTheme="minorEastAsia" w:hAnsiTheme="minorEastAsia"/>
          <w:b/>
          <w:color w:val="000000"/>
          <w:kern w:val="0"/>
          <w:sz w:val="32"/>
          <w:szCs w:val="32"/>
        </w:rPr>
        <w:t>效评价报告</w:t>
      </w:r>
    </w:p>
    <w:p>
      <w:pPr>
        <w:ind w:firstLine="640" w:firstLineChars="200"/>
        <w:jc w:val="left"/>
        <w:rPr>
          <w:rFonts w:hint="eastAsia" w:cs="黑体" w:asciiTheme="minorEastAsia" w:hAnsiTheme="minorEastAsia"/>
          <w:b/>
          <w:color w:val="000000"/>
          <w:kern w:val="0"/>
          <w:sz w:val="32"/>
          <w:szCs w:val="32"/>
        </w:rPr>
      </w:pPr>
      <w:r>
        <w:rPr>
          <w:rFonts w:hint="eastAsia" w:cs="黑体" w:asciiTheme="minorEastAsia" w:hAnsiTheme="minorEastAsia"/>
          <w:b/>
          <w:color w:val="000000"/>
          <w:kern w:val="0"/>
          <w:sz w:val="32"/>
          <w:szCs w:val="32"/>
          <w:lang w:val="en-US" w:eastAsia="zh-CN"/>
        </w:rPr>
        <w:t>2、</w:t>
      </w:r>
      <w:r>
        <w:rPr>
          <w:rFonts w:hint="eastAsia" w:cs="黑体" w:asciiTheme="minorEastAsia" w:hAnsiTheme="minorEastAsia"/>
          <w:b/>
          <w:color w:val="000000"/>
          <w:kern w:val="0"/>
          <w:sz w:val="32"/>
          <w:szCs w:val="32"/>
        </w:rPr>
        <w:t>20</w:t>
      </w:r>
      <w:r>
        <w:rPr>
          <w:rFonts w:hint="eastAsia" w:cs="黑体" w:asciiTheme="minorEastAsia" w:hAnsiTheme="minorEastAsia"/>
          <w:b/>
          <w:color w:val="000000"/>
          <w:kern w:val="0"/>
          <w:sz w:val="32"/>
          <w:szCs w:val="32"/>
          <w:lang w:val="en-US" w:eastAsia="zh-CN"/>
        </w:rPr>
        <w:t>21</w:t>
      </w:r>
      <w:r>
        <w:rPr>
          <w:rFonts w:hint="eastAsia" w:cs="黑体" w:asciiTheme="minorEastAsia" w:hAnsiTheme="minorEastAsia"/>
          <w:b/>
          <w:color w:val="000000"/>
          <w:kern w:val="0"/>
          <w:sz w:val="32"/>
          <w:szCs w:val="32"/>
        </w:rPr>
        <w:t>年沅江市</w:t>
      </w:r>
      <w:r>
        <w:rPr>
          <w:rFonts w:hint="eastAsia" w:cs="黑体" w:asciiTheme="minorEastAsia" w:hAnsiTheme="minorEastAsia"/>
          <w:b/>
          <w:color w:val="000000"/>
          <w:kern w:val="0"/>
          <w:sz w:val="32"/>
          <w:szCs w:val="32"/>
          <w:lang w:eastAsia="zh-CN"/>
        </w:rPr>
        <w:t>烈士陵园服务中心</w:t>
      </w:r>
      <w:r>
        <w:rPr>
          <w:rFonts w:hint="eastAsia" w:cs="黑体" w:asciiTheme="minorEastAsia" w:hAnsiTheme="minorEastAsia"/>
          <w:b/>
          <w:color w:val="000000"/>
          <w:kern w:val="0"/>
          <w:sz w:val="32"/>
          <w:szCs w:val="32"/>
        </w:rPr>
        <w:t>决算公开表格</w:t>
      </w:r>
    </w:p>
    <w:p>
      <w:pPr>
        <w:ind w:firstLine="640" w:firstLineChars="200"/>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4DBEF8"/>
    <w:multiLevelType w:val="multilevel"/>
    <w:tmpl w:val="824DBEF8"/>
    <w:lvl w:ilvl="0" w:tentative="0">
      <w:start w:val="1"/>
      <w:numFmt w:val="decimal"/>
      <w:suff w:val="nothing"/>
      <w:lvlText w:val="%1、"/>
      <w:lvlJc w:val="left"/>
      <w:rPr>
        <w:rFonts w:cs="Times New Roman"/>
      </w:rPr>
    </w:lvl>
    <w:lvl w:ilvl="1" w:tentative="0">
      <w:start w:val="1"/>
      <w:numFmt w:val="decimal"/>
      <w:lvlText w:val="、"/>
      <w:lvlJc w:val="left"/>
      <w:rPr>
        <w:rFonts w:cs="Times New Roman"/>
      </w:rPr>
    </w:lvl>
    <w:lvl w:ilvl="2" w:tentative="0">
      <w:start w:val="1"/>
      <w:numFmt w:val="decimal"/>
      <w:lvlText w:val="、"/>
      <w:lvlJc w:val="left"/>
      <w:rPr>
        <w:rFonts w:cs="Times New Roman"/>
      </w:rPr>
    </w:lvl>
    <w:lvl w:ilvl="3" w:tentative="0">
      <w:start w:val="1"/>
      <w:numFmt w:val="decimal"/>
      <w:lvlText w:val="、"/>
      <w:lvlJc w:val="left"/>
      <w:rPr>
        <w:rFonts w:cs="Times New Roman"/>
      </w:rPr>
    </w:lvl>
    <w:lvl w:ilvl="4" w:tentative="0">
      <w:start w:val="1"/>
      <w:numFmt w:val="decimal"/>
      <w:lvlText w:val="、"/>
      <w:lvlJc w:val="left"/>
      <w:rPr>
        <w:rFonts w:cs="Times New Roman"/>
      </w:rPr>
    </w:lvl>
    <w:lvl w:ilvl="5" w:tentative="0">
      <w:start w:val="1"/>
      <w:numFmt w:val="decimal"/>
      <w:lvlText w:val="、"/>
      <w:lvlJc w:val="left"/>
      <w:rPr>
        <w:rFonts w:cs="Times New Roman"/>
      </w:rPr>
    </w:lvl>
    <w:lvl w:ilvl="6" w:tentative="0">
      <w:start w:val="1"/>
      <w:numFmt w:val="decimal"/>
      <w:lvlText w:val="、"/>
      <w:lvlJc w:val="left"/>
      <w:rPr>
        <w:rFonts w:cs="Times New Roman"/>
      </w:rPr>
    </w:lvl>
    <w:lvl w:ilvl="7" w:tentative="0">
      <w:start w:val="1"/>
      <w:numFmt w:val="decimal"/>
      <w:lvlText w:val="、"/>
      <w:lvlJc w:val="left"/>
      <w:rPr>
        <w:rFonts w:cs="Times New Roman"/>
      </w:rPr>
    </w:lvl>
    <w:lvl w:ilvl="8" w:tentative="0">
      <w:start w:val="1"/>
      <w:numFmt w:val="decimal"/>
      <w:lvlText w:val="、"/>
      <w:lvlJc w:val="left"/>
      <w:rPr>
        <w:rFonts w:cs="Times New Roman"/>
      </w:rPr>
    </w:lvl>
  </w:abstractNum>
  <w:abstractNum w:abstractNumId="1">
    <w:nsid w:val="ABD611BB"/>
    <w:multiLevelType w:val="singleLevel"/>
    <w:tmpl w:val="ABD611BB"/>
    <w:lvl w:ilvl="0" w:tentative="0">
      <w:start w:val="1"/>
      <w:numFmt w:val="decimal"/>
      <w:suff w:val="nothing"/>
      <w:lvlText w:val="%1、"/>
      <w:lvlJc w:val="left"/>
    </w:lvl>
  </w:abstractNum>
  <w:abstractNum w:abstractNumId="2">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178A56D"/>
    <w:multiLevelType w:val="singleLevel"/>
    <w:tmpl w:val="5178A56D"/>
    <w:lvl w:ilvl="0" w:tentative="0">
      <w:start w:val="2"/>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hYjg0ZWJhYTczYWViODJkMDdiZmE1NzZkNzQ0YmYifQ=="/>
  </w:docVars>
  <w:rsids>
    <w:rsidRoot w:val="004506F9"/>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82373"/>
    <w:rsid w:val="001A67DB"/>
    <w:rsid w:val="001C3C29"/>
    <w:rsid w:val="001D51E5"/>
    <w:rsid w:val="001E080D"/>
    <w:rsid w:val="001E53D0"/>
    <w:rsid w:val="001F0C3B"/>
    <w:rsid w:val="00202C14"/>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F74360"/>
    <w:rsid w:val="00FB462F"/>
    <w:rsid w:val="00FE16FA"/>
    <w:rsid w:val="00FE328A"/>
    <w:rsid w:val="00FE6269"/>
    <w:rsid w:val="00FF5CD6"/>
    <w:rsid w:val="0E3E6D2A"/>
    <w:rsid w:val="0E3E7DE0"/>
    <w:rsid w:val="18B676ED"/>
    <w:rsid w:val="216B2780"/>
    <w:rsid w:val="25AE753E"/>
    <w:rsid w:val="25F56F08"/>
    <w:rsid w:val="2C9D3A89"/>
    <w:rsid w:val="343F73AC"/>
    <w:rsid w:val="44896835"/>
    <w:rsid w:val="4A9338E4"/>
    <w:rsid w:val="4B726E7E"/>
    <w:rsid w:val="50C00B13"/>
    <w:rsid w:val="542A5907"/>
    <w:rsid w:val="620B2459"/>
    <w:rsid w:val="66410DD2"/>
    <w:rsid w:val="6B431E33"/>
    <w:rsid w:val="710C46C4"/>
    <w:rsid w:val="71316BB1"/>
    <w:rsid w:val="75907680"/>
    <w:rsid w:val="77877BF2"/>
    <w:rsid w:val="79CE71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uiPriority w:val="99"/>
    <w:rPr>
      <w:sz w:val="18"/>
      <w:szCs w:val="18"/>
    </w:rPr>
  </w:style>
  <w:style w:type="paragraph" w:customStyle="1" w:styleId="9">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0">
    <w:name w:val="List Paragraph"/>
    <w:basedOn w:val="1"/>
    <w:qFormat/>
    <w:uiPriority w:val="34"/>
    <w:pPr>
      <w:ind w:firstLine="420" w:firstLineChars="200"/>
    </w:pPr>
  </w:style>
  <w:style w:type="character" w:customStyle="1" w:styleId="11">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80904-B2FB-4FE3-894F-42F14B17BC5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6080</Words>
  <Characters>7479</Characters>
  <Lines>69</Lines>
  <Paragraphs>19</Paragraphs>
  <TotalTime>0</TotalTime>
  <ScaleCrop>false</ScaleCrop>
  <LinksUpToDate>false</LinksUpToDate>
  <CharactersWithSpaces>8811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Anna</cp:lastModifiedBy>
  <cp:lastPrinted>2022-07-27T12:55:00Z</cp:lastPrinted>
  <dcterms:modified xsi:type="dcterms:W3CDTF">2022-09-23T03:23:09Z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63169A48C4864A43BC8EA6632F21BAC2</vt:lpwstr>
  </property>
</Properties>
</file>