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hint="eastAsia"/>
          <w:sz w:val="56"/>
          <w:szCs w:val="56"/>
        </w:rPr>
      </w:pPr>
    </w:p>
    <w:p>
      <w:pPr>
        <w:pStyle w:val="9"/>
        <w:jc w:val="center"/>
        <w:rPr>
          <w:sz w:val="56"/>
          <w:szCs w:val="56"/>
        </w:rPr>
      </w:pPr>
    </w:p>
    <w:p>
      <w:pPr>
        <w:pStyle w:val="9"/>
        <w:jc w:val="center"/>
        <w:rPr>
          <w:sz w:val="84"/>
          <w:szCs w:val="84"/>
        </w:rPr>
      </w:pPr>
    </w:p>
    <w:p>
      <w:pPr>
        <w:pStyle w:val="9"/>
        <w:jc w:val="center"/>
        <w:rPr>
          <w:sz w:val="84"/>
          <w:szCs w:val="84"/>
        </w:rPr>
      </w:pPr>
    </w:p>
    <w:p>
      <w:pPr>
        <w:pStyle w:val="9"/>
        <w:jc w:val="center"/>
        <w:rPr>
          <w:sz w:val="84"/>
          <w:szCs w:val="84"/>
        </w:rPr>
      </w:pPr>
      <w:r>
        <w:rPr>
          <w:rFonts w:hint="eastAsia"/>
          <w:sz w:val="84"/>
          <w:szCs w:val="84"/>
        </w:rPr>
        <w:t>2021年度</w:t>
      </w:r>
    </w:p>
    <w:p>
      <w:pPr>
        <w:pStyle w:val="9"/>
        <w:jc w:val="center"/>
        <w:rPr>
          <w:sz w:val="84"/>
          <w:szCs w:val="84"/>
        </w:rPr>
      </w:pPr>
      <w:r>
        <w:rPr>
          <w:rFonts w:hint="eastAsia"/>
          <w:sz w:val="84"/>
          <w:szCs w:val="84"/>
          <w:lang w:eastAsia="zh-CN"/>
        </w:rPr>
        <w:t>沅江市殡仪馆</w:t>
      </w:r>
      <w:r>
        <w:rPr>
          <w:rFonts w:hint="eastAsia"/>
          <w:sz w:val="84"/>
          <w:szCs w:val="84"/>
        </w:rPr>
        <w:t>部门决算</w:t>
      </w: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32"/>
          <w:szCs w:val="32"/>
        </w:rPr>
      </w:pPr>
    </w:p>
    <w:p>
      <w:pPr>
        <w:pStyle w:val="9"/>
        <w:jc w:val="center"/>
        <w:rPr>
          <w:sz w:val="32"/>
          <w:szCs w:val="32"/>
        </w:rPr>
      </w:pPr>
    </w:p>
    <w:p>
      <w:pPr>
        <w:pStyle w:val="9"/>
        <w:jc w:val="center"/>
        <w:rPr>
          <w:sz w:val="32"/>
          <w:szCs w:val="32"/>
        </w:rPr>
      </w:pPr>
    </w:p>
    <w:p>
      <w:pPr>
        <w:pStyle w:val="9"/>
        <w:jc w:val="center"/>
        <w:rPr>
          <w:sz w:val="32"/>
          <w:szCs w:val="32"/>
        </w:rPr>
      </w:pPr>
    </w:p>
    <w:p>
      <w:pPr>
        <w:pStyle w:val="9"/>
        <w:jc w:val="center"/>
        <w:rPr>
          <w:sz w:val="32"/>
          <w:szCs w:val="32"/>
        </w:rPr>
      </w:pPr>
    </w:p>
    <w:p>
      <w:pPr>
        <w:pStyle w:val="9"/>
        <w:spacing w:line="540" w:lineRule="exact"/>
        <w:jc w:val="center"/>
        <w:rPr>
          <w:sz w:val="56"/>
          <w:szCs w:val="56"/>
        </w:rPr>
      </w:pPr>
    </w:p>
    <w:p>
      <w:pPr>
        <w:pStyle w:val="9"/>
        <w:spacing w:line="500" w:lineRule="exact"/>
        <w:jc w:val="center"/>
        <w:rPr>
          <w:b/>
          <w:sz w:val="36"/>
          <w:szCs w:val="28"/>
        </w:rPr>
      </w:pPr>
    </w:p>
    <w:p>
      <w:pPr>
        <w:pStyle w:val="9"/>
        <w:spacing w:line="500" w:lineRule="exact"/>
        <w:jc w:val="center"/>
        <w:rPr>
          <w:b/>
          <w:sz w:val="36"/>
          <w:szCs w:val="28"/>
        </w:rPr>
      </w:pPr>
    </w:p>
    <w:p>
      <w:pPr>
        <w:pStyle w:val="9"/>
        <w:spacing w:line="500" w:lineRule="exact"/>
        <w:jc w:val="center"/>
        <w:rPr>
          <w:b/>
          <w:sz w:val="36"/>
          <w:szCs w:val="28"/>
        </w:rPr>
      </w:pPr>
      <w:r>
        <w:rPr>
          <w:rFonts w:hint="eastAsia"/>
          <w:b/>
          <w:sz w:val="36"/>
          <w:szCs w:val="28"/>
        </w:rPr>
        <w:t>目录</w:t>
      </w:r>
    </w:p>
    <w:p>
      <w:pPr>
        <w:pStyle w:val="9"/>
        <w:spacing w:line="500" w:lineRule="exact"/>
        <w:rPr>
          <w:rFonts w:ascii="仿宋_GB2312" w:hAnsi="仿宋_GB2312" w:cs="仿宋_GB2312"/>
          <w:b/>
          <w:sz w:val="28"/>
          <w:szCs w:val="28"/>
        </w:rPr>
      </w:pPr>
      <w:r>
        <w:rPr>
          <w:rFonts w:hint="eastAsia"/>
          <w:b/>
          <w:sz w:val="28"/>
          <w:szCs w:val="28"/>
        </w:rPr>
        <w:t>第一部分</w:t>
      </w:r>
      <w:r>
        <w:rPr>
          <w:rFonts w:hint="eastAsia"/>
          <w:b/>
          <w:sz w:val="28"/>
          <w:szCs w:val="28"/>
          <w:lang w:eastAsia="zh-CN"/>
        </w:rPr>
        <w:t>沅江市殡仪馆</w:t>
      </w:r>
      <w:r>
        <w:rPr>
          <w:rFonts w:hint="eastAsia"/>
          <w:b/>
          <w:sz w:val="28"/>
          <w:szCs w:val="28"/>
        </w:rPr>
        <w:t>概况</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9"/>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21年度部门决算表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9"/>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9"/>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21年度部门决算情况说明</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十一、政府采购支出说明</w:t>
      </w:r>
    </w:p>
    <w:p>
      <w:pPr>
        <w:pStyle w:val="9"/>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十二、国有资产占用情况说明</w:t>
      </w:r>
    </w:p>
    <w:p>
      <w:pPr>
        <w:pStyle w:val="9"/>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9"/>
        <w:jc w:val="center"/>
        <w:rPr>
          <w:sz w:val="84"/>
          <w:szCs w:val="84"/>
        </w:rPr>
      </w:pPr>
      <w:r>
        <w:rPr>
          <w:rFonts w:hint="eastAsia"/>
          <w:sz w:val="84"/>
          <w:szCs w:val="84"/>
        </w:rPr>
        <w:t>第一部分</w:t>
      </w:r>
      <w:r>
        <w:rPr>
          <w:sz w:val="84"/>
          <w:szCs w:val="84"/>
        </w:rPr>
        <w:t xml:space="preserve"> </w:t>
      </w:r>
    </w:p>
    <w:p>
      <w:pPr>
        <w:pStyle w:val="9"/>
        <w:jc w:val="center"/>
        <w:rPr>
          <w:sz w:val="84"/>
          <w:szCs w:val="84"/>
        </w:rPr>
      </w:pPr>
    </w:p>
    <w:p>
      <w:pPr>
        <w:pStyle w:val="9"/>
        <w:jc w:val="center"/>
        <w:rPr>
          <w:sz w:val="84"/>
          <w:szCs w:val="84"/>
        </w:rPr>
      </w:pPr>
      <w:r>
        <w:rPr>
          <w:rFonts w:hint="eastAsia"/>
          <w:sz w:val="84"/>
          <w:szCs w:val="84"/>
          <w:lang w:eastAsia="zh-CN"/>
        </w:rPr>
        <w:t>沅江市殡仪馆</w:t>
      </w:r>
      <w:r>
        <w:rPr>
          <w:rFonts w:hint="eastAsia"/>
          <w:sz w:val="84"/>
          <w:szCs w:val="84"/>
        </w:rPr>
        <w:t>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spacing w:line="560" w:lineRule="exact"/>
        <w:jc w:val="left"/>
        <w:rPr>
          <w:rFonts w:ascii="sinSun" w:hAnsi="sinSun"/>
          <w:color w:val="353535"/>
          <w:sz w:val="10"/>
          <w:szCs w:val="10"/>
          <w:shd w:val="clear" w:color="auto" w:fill="FFFFFF"/>
        </w:rPr>
      </w:pPr>
      <w:r>
        <w:rPr>
          <w:rFonts w:hint="default" w:ascii="仿宋" w:hAnsi="仿宋" w:eastAsia="仿宋" w:cs="宋体"/>
          <w:kern w:val="0"/>
          <w:sz w:val="32"/>
          <w:szCs w:val="32"/>
          <w:highlight w:val="none"/>
          <w:lang w:val="en-US" w:eastAsia="zh-CN"/>
        </w:rPr>
        <w:t>①</w:t>
      </w:r>
      <w:r>
        <w:rPr>
          <w:rFonts w:ascii="sinSun" w:hAnsi="sinSun"/>
          <w:color w:val="353535"/>
          <w:sz w:val="28"/>
          <w:szCs w:val="28"/>
          <w:shd w:val="clear" w:color="auto" w:fill="FFFFFF"/>
        </w:rPr>
        <w:t>、按照国家有关政策,拟定老人、残疾人、孤残儿童、精神病人等社会福利事业单位工作的方针，政策、法规和发展规划，并监督执行。</w:t>
      </w:r>
      <w:r>
        <w:rPr>
          <w:rFonts w:ascii="sinSun" w:hAnsi="sinSun"/>
          <w:color w:val="353535"/>
          <w:sz w:val="28"/>
          <w:szCs w:val="28"/>
        </w:rPr>
        <w:br w:type="textWrapping"/>
      </w:r>
      <w:r>
        <w:rPr>
          <w:rFonts w:hint="default" w:ascii="仿宋" w:hAnsi="仿宋" w:eastAsia="仿宋" w:cs="宋体"/>
          <w:kern w:val="0"/>
          <w:sz w:val="32"/>
          <w:szCs w:val="32"/>
          <w:highlight w:val="none"/>
          <w:lang w:val="en-US" w:eastAsia="zh-CN"/>
        </w:rPr>
        <w:t>②</w:t>
      </w:r>
      <w:r>
        <w:rPr>
          <w:rFonts w:ascii="sinSun" w:hAnsi="sinSun"/>
          <w:color w:val="353535"/>
          <w:sz w:val="28"/>
          <w:szCs w:val="28"/>
          <w:shd w:val="clear" w:color="auto" w:fill="FFFFFF"/>
        </w:rPr>
        <w:t>、协助政府有关部门和社会团体做好老年人、残疾人的社会福利工作，开展老年人和残疾人的权益保护工作。</w:t>
      </w:r>
      <w:r>
        <w:rPr>
          <w:rFonts w:ascii="sinSun" w:hAnsi="sinSun"/>
          <w:color w:val="353535"/>
          <w:sz w:val="28"/>
          <w:szCs w:val="28"/>
        </w:rPr>
        <w:br w:type="textWrapping"/>
      </w:r>
      <w:r>
        <w:rPr>
          <w:rFonts w:hint="default" w:ascii="仿宋" w:hAnsi="仿宋" w:eastAsia="仿宋" w:cs="宋体"/>
          <w:kern w:val="0"/>
          <w:sz w:val="32"/>
          <w:szCs w:val="32"/>
          <w:highlight w:val="none"/>
          <w:lang w:val="en-US" w:eastAsia="zh-CN"/>
        </w:rPr>
        <w:t>③</w:t>
      </w:r>
      <w:r>
        <w:rPr>
          <w:rFonts w:ascii="sinSun" w:hAnsi="sinSun"/>
          <w:color w:val="353535"/>
          <w:sz w:val="28"/>
          <w:szCs w:val="28"/>
          <w:shd w:val="clear" w:color="auto" w:fill="FFFFFF"/>
        </w:rPr>
        <w:t>、协助社会福利事业单位开展康复工作，组织社会福利事业单位管理人员、康复技术人员的培训工作。</w:t>
      </w:r>
      <w:r>
        <w:rPr>
          <w:rFonts w:ascii="sinSun" w:hAnsi="sinSun"/>
          <w:color w:val="353535"/>
          <w:sz w:val="28"/>
          <w:szCs w:val="28"/>
        </w:rPr>
        <w:br w:type="textWrapping"/>
      </w:r>
      <w:r>
        <w:rPr>
          <w:rFonts w:hint="eastAsia" w:ascii="仿宋" w:hAnsi="仿宋" w:eastAsia="仿宋" w:cs="宋体"/>
          <w:kern w:val="0"/>
          <w:sz w:val="32"/>
          <w:szCs w:val="32"/>
          <w:highlight w:val="none"/>
        </w:rPr>
        <w:t>④</w:t>
      </w:r>
      <w:r>
        <w:rPr>
          <w:rFonts w:ascii="sinSun" w:hAnsi="sinSun"/>
          <w:color w:val="353535"/>
          <w:sz w:val="28"/>
          <w:szCs w:val="28"/>
          <w:shd w:val="clear" w:color="auto" w:fill="FFFFFF"/>
        </w:rPr>
        <w:t>、协助社会福利事业单位规范化管理及开展自费收养、生产经营等项工作。</w:t>
      </w:r>
      <w:r>
        <w:rPr>
          <w:rFonts w:ascii="sinSun" w:hAnsi="sinSun"/>
          <w:color w:val="353535"/>
          <w:sz w:val="28"/>
          <w:szCs w:val="28"/>
        </w:rPr>
        <w:br w:type="textWrapping"/>
      </w:r>
      <w:r>
        <w:rPr>
          <w:rFonts w:hint="eastAsia" w:ascii="仿宋" w:hAnsi="仿宋" w:eastAsia="仿宋" w:cs="宋体"/>
          <w:kern w:val="0"/>
          <w:sz w:val="32"/>
          <w:szCs w:val="32"/>
          <w:highlight w:val="none"/>
          <w:lang w:val="en-US" w:eastAsia="zh-CN"/>
        </w:rPr>
        <w:t>⑤</w:t>
      </w:r>
      <w:r>
        <w:rPr>
          <w:rFonts w:ascii="sinSun" w:hAnsi="sinSun"/>
          <w:color w:val="353535"/>
          <w:sz w:val="28"/>
          <w:szCs w:val="28"/>
          <w:shd w:val="clear" w:color="auto" w:fill="FFFFFF"/>
        </w:rPr>
        <w:t>、协助残疾儿童福利事业单位开展特殊教育工作。</w:t>
      </w:r>
      <w:r>
        <w:rPr>
          <w:rFonts w:ascii="sinSun" w:hAnsi="sinSun"/>
          <w:color w:val="353535"/>
          <w:sz w:val="28"/>
          <w:szCs w:val="28"/>
        </w:rPr>
        <w:br w:type="textWrapping"/>
      </w:r>
      <w:r>
        <w:rPr>
          <w:rFonts w:hint="eastAsia" w:ascii="仿宋" w:hAnsi="仿宋" w:eastAsia="仿宋" w:cs="宋体"/>
          <w:kern w:val="0"/>
          <w:sz w:val="32"/>
          <w:szCs w:val="32"/>
          <w:highlight w:val="none"/>
          <w:lang w:val="en-US" w:eastAsia="zh-CN"/>
        </w:rPr>
        <w:t>⑥</w:t>
      </w:r>
      <w:r>
        <w:rPr>
          <w:rFonts w:ascii="sinSun" w:hAnsi="sinSun"/>
          <w:color w:val="353535"/>
          <w:sz w:val="28"/>
          <w:szCs w:val="28"/>
          <w:shd w:val="clear" w:color="auto" w:fill="FFFFFF"/>
        </w:rPr>
        <w:t>、协助孤儿的助养、助学、助医工作，协助有关部门做好孤儿收养工作。</w:t>
      </w:r>
      <w:r>
        <w:rPr>
          <w:rFonts w:ascii="sinSun" w:hAnsi="sinSun"/>
          <w:color w:val="353535"/>
          <w:sz w:val="28"/>
          <w:szCs w:val="28"/>
        </w:rPr>
        <w:br w:type="textWrapping"/>
      </w:r>
      <w:r>
        <w:rPr>
          <w:rFonts w:hint="eastAsia" w:ascii="sinSun" w:hAnsi="sinSun"/>
          <w:color w:val="353535"/>
          <w:sz w:val="28"/>
          <w:szCs w:val="28"/>
          <w:lang w:val="en-US" w:eastAsia="zh-CN"/>
        </w:rPr>
        <w:t>⑦</w:t>
      </w:r>
      <w:r>
        <w:rPr>
          <w:rFonts w:ascii="sinSun" w:hAnsi="sinSun"/>
          <w:color w:val="353535"/>
          <w:sz w:val="28"/>
          <w:szCs w:val="28"/>
          <w:shd w:val="clear" w:color="auto" w:fill="FFFFFF"/>
        </w:rPr>
        <w:t>、协调其它有关社会福利事业工作。</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jc w:val="left"/>
        <w:rPr>
          <w:rFonts w:ascii="仿宋_GB2312" w:eastAsia="仿宋_GB2312" w:hAnsiTheme="minorEastAsia"/>
          <w:sz w:val="28"/>
          <w:szCs w:val="32"/>
        </w:rPr>
      </w:pPr>
      <w:r>
        <w:rPr>
          <w:rFonts w:hint="eastAsia" w:ascii="仿宋" w:hAnsi="仿宋" w:eastAsia="仿宋"/>
          <w:color w:val="000000"/>
          <w:sz w:val="32"/>
          <w:szCs w:val="32"/>
          <w:shd w:val="clear" w:color="auto" w:fill="FFFFFF"/>
        </w:rPr>
        <w:t>根据编委核定，我</w:t>
      </w:r>
      <w:r>
        <w:rPr>
          <w:rFonts w:hint="eastAsia" w:ascii="仿宋" w:hAnsi="仿宋" w:eastAsia="仿宋"/>
          <w:color w:val="000000"/>
          <w:sz w:val="32"/>
          <w:szCs w:val="32"/>
          <w:shd w:val="clear" w:color="auto" w:fill="FFFFFF"/>
          <w:lang w:eastAsia="zh-CN"/>
        </w:rPr>
        <w:t>馆</w:t>
      </w:r>
      <w:r>
        <w:rPr>
          <w:rFonts w:hint="eastAsia" w:ascii="仿宋" w:hAnsi="仿宋" w:eastAsia="仿宋"/>
          <w:color w:val="000000"/>
          <w:sz w:val="32"/>
          <w:szCs w:val="32"/>
          <w:shd w:val="clear" w:color="auto" w:fill="FFFFFF"/>
        </w:rPr>
        <w:t>所属事业单位1个，全部纳入202</w:t>
      </w:r>
      <w:r>
        <w:rPr>
          <w:rFonts w:hint="eastAsia" w:ascii="仿宋" w:hAnsi="仿宋" w:eastAsia="仿宋"/>
          <w:color w:val="000000"/>
          <w:sz w:val="32"/>
          <w:szCs w:val="32"/>
          <w:shd w:val="clear" w:color="auto" w:fill="FFFFFF"/>
          <w:lang w:val="en-US" w:eastAsia="zh-CN"/>
        </w:rPr>
        <w:t>1</w:t>
      </w:r>
      <w:r>
        <w:rPr>
          <w:rFonts w:hint="eastAsia" w:ascii="仿宋" w:hAnsi="仿宋" w:eastAsia="仿宋"/>
          <w:color w:val="000000"/>
          <w:sz w:val="32"/>
          <w:szCs w:val="32"/>
          <w:shd w:val="clear" w:color="auto" w:fill="FFFFFF"/>
        </w:rPr>
        <w:t>年部门编制范围。</w:t>
      </w: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5"/>
        <w:tblW w:w="14160" w:type="dxa"/>
        <w:tblInd w:w="93" w:type="dxa"/>
        <w:tblLayout w:type="autofit"/>
        <w:tblCellMar>
          <w:top w:w="0" w:type="dxa"/>
          <w:left w:w="108" w:type="dxa"/>
          <w:bottom w:w="0" w:type="dxa"/>
          <w:right w:w="108" w:type="dxa"/>
        </w:tblCellMar>
      </w:tblPr>
      <w:tblGrid>
        <w:gridCol w:w="4149"/>
        <w:gridCol w:w="451"/>
        <w:gridCol w:w="635"/>
        <w:gridCol w:w="602"/>
        <w:gridCol w:w="98"/>
        <w:gridCol w:w="233"/>
        <w:gridCol w:w="3488"/>
        <w:gridCol w:w="849"/>
        <w:gridCol w:w="1468"/>
        <w:gridCol w:w="660"/>
        <w:gridCol w:w="1527"/>
      </w:tblGrid>
      <w:tr>
        <w:tblPrEx>
          <w:tblCellMar>
            <w:top w:w="0" w:type="dxa"/>
            <w:left w:w="108" w:type="dxa"/>
            <w:bottom w:w="0" w:type="dxa"/>
            <w:right w:w="108" w:type="dxa"/>
          </w:tblCellMar>
        </w:tblPrEx>
        <w:trPr>
          <w:trHeight w:val="635" w:hRule="atLeast"/>
        </w:trPr>
        <w:tc>
          <w:tcPr>
            <w:tcW w:w="14160"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tblPrEx>
          <w:tblCellMar>
            <w:top w:w="0" w:type="dxa"/>
            <w:left w:w="108" w:type="dxa"/>
            <w:bottom w:w="0" w:type="dxa"/>
            <w:right w:w="108" w:type="dxa"/>
          </w:tblCellMar>
        </w:tblPrEx>
        <w:trPr>
          <w:trHeight w:val="317" w:hRule="atLeast"/>
        </w:trPr>
        <w:tc>
          <w:tcPr>
            <w:tcW w:w="5235"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ascii="宋体" w:hAnsi="宋体" w:eastAsia="宋体" w:cs="宋体"/>
                <w:color w:val="000000"/>
                <w:kern w:val="0"/>
                <w:sz w:val="20"/>
                <w:szCs w:val="20"/>
              </w:rPr>
              <w:t xml:space="preserve"> </w:t>
            </w:r>
          </w:p>
        </w:tc>
        <w:tc>
          <w:tcPr>
            <w:tcW w:w="70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805"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color w:val="000000"/>
                <w:kern w:val="0"/>
                <w:sz w:val="20"/>
                <w:szCs w:val="20"/>
              </w:rPr>
              <w:t>公开01表</w:t>
            </w:r>
            <w:r>
              <w:rPr>
                <w:rFonts w:hint="eastAsia" w:ascii="宋体" w:hAnsi="宋体" w:eastAsia="宋体" w:cs="宋体"/>
                <w:kern w:val="0"/>
                <w:sz w:val="24"/>
                <w:szCs w:val="24"/>
              </w:rPr>
              <w:t>　</w:t>
            </w:r>
          </w:p>
        </w:tc>
        <w:tc>
          <w:tcPr>
            <w:tcW w:w="66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27"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56" w:hRule="atLeast"/>
        </w:trPr>
        <w:tc>
          <w:tcPr>
            <w:tcW w:w="5837"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8323"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45" w:hRule="atLeast"/>
        </w:trPr>
        <w:tc>
          <w:tcPr>
            <w:tcW w:w="4149"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819"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655"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tblPrEx>
          <w:tblCellMar>
            <w:top w:w="0" w:type="dxa"/>
            <w:left w:w="108" w:type="dxa"/>
            <w:bottom w:w="0" w:type="dxa"/>
            <w:right w:w="108" w:type="dxa"/>
          </w:tblCellMar>
        </w:tblPrEx>
        <w:trPr>
          <w:trHeight w:val="356" w:hRule="atLeast"/>
        </w:trPr>
        <w:tc>
          <w:tcPr>
            <w:tcW w:w="4149"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3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819"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55"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tblPrEx>
          <w:tblCellMar>
            <w:top w:w="0" w:type="dxa"/>
            <w:left w:w="108" w:type="dxa"/>
            <w:bottom w:w="0" w:type="dxa"/>
            <w:right w:w="108" w:type="dxa"/>
          </w:tblCellMar>
        </w:tblPrEx>
        <w:trPr>
          <w:trHeight w:val="356" w:hRule="atLeast"/>
        </w:trPr>
        <w:tc>
          <w:tcPr>
            <w:tcW w:w="414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一、一般公共预算财政拨款收入</w:t>
            </w:r>
          </w:p>
        </w:tc>
        <w:tc>
          <w:tcPr>
            <w:tcW w:w="4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23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753.46</w:t>
            </w:r>
          </w:p>
        </w:tc>
        <w:tc>
          <w:tcPr>
            <w:tcW w:w="3819"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8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365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56" w:hRule="atLeast"/>
        </w:trPr>
        <w:tc>
          <w:tcPr>
            <w:tcW w:w="4149"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二、政府性基金预算财政拨款收入</w:t>
            </w:r>
          </w:p>
        </w:tc>
        <w:tc>
          <w:tcPr>
            <w:tcW w:w="4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237"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819"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8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365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56" w:hRule="atLeast"/>
        </w:trPr>
        <w:tc>
          <w:tcPr>
            <w:tcW w:w="414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三、国有资本经营预算财政拨款收入</w:t>
            </w:r>
          </w:p>
        </w:tc>
        <w:tc>
          <w:tcPr>
            <w:tcW w:w="4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237"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819"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8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365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56" w:hRule="atLeast"/>
        </w:trPr>
        <w:tc>
          <w:tcPr>
            <w:tcW w:w="4149"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四、上级补助收入</w:t>
            </w:r>
          </w:p>
        </w:tc>
        <w:tc>
          <w:tcPr>
            <w:tcW w:w="4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237"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819"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8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365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56" w:hRule="atLeast"/>
        </w:trPr>
        <w:tc>
          <w:tcPr>
            <w:tcW w:w="4149"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五、事业收入</w:t>
            </w:r>
          </w:p>
        </w:tc>
        <w:tc>
          <w:tcPr>
            <w:tcW w:w="4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23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17.60</w:t>
            </w:r>
          </w:p>
        </w:tc>
        <w:tc>
          <w:tcPr>
            <w:tcW w:w="3819"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8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365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56" w:hRule="atLeast"/>
        </w:trPr>
        <w:tc>
          <w:tcPr>
            <w:tcW w:w="4149"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六、经营收入</w:t>
            </w:r>
          </w:p>
        </w:tc>
        <w:tc>
          <w:tcPr>
            <w:tcW w:w="4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237"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819"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8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365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56" w:hRule="atLeast"/>
        </w:trPr>
        <w:tc>
          <w:tcPr>
            <w:tcW w:w="4149"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七、附属单位上缴收入</w:t>
            </w:r>
          </w:p>
        </w:tc>
        <w:tc>
          <w:tcPr>
            <w:tcW w:w="4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237"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81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七</w:t>
            </w:r>
            <w:r>
              <w:rPr>
                <w:rFonts w:hint="eastAsia" w:ascii="宋体" w:hAnsi="宋体" w:eastAsia="宋体" w:cs="宋体"/>
                <w:kern w:val="0"/>
                <w:sz w:val="24"/>
                <w:szCs w:val="24"/>
              </w:rPr>
              <w:t>、社会保障和就业支出</w:t>
            </w:r>
          </w:p>
        </w:tc>
        <w:tc>
          <w:tcPr>
            <w:tcW w:w="8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3655"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760.42</w:t>
            </w:r>
          </w:p>
        </w:tc>
      </w:tr>
      <w:tr>
        <w:tblPrEx>
          <w:tblCellMar>
            <w:top w:w="0" w:type="dxa"/>
            <w:left w:w="108" w:type="dxa"/>
            <w:bottom w:w="0" w:type="dxa"/>
            <w:right w:w="108" w:type="dxa"/>
          </w:tblCellMar>
        </w:tblPrEx>
        <w:trPr>
          <w:trHeight w:val="356" w:hRule="atLeast"/>
        </w:trPr>
        <w:tc>
          <w:tcPr>
            <w:tcW w:w="4149"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八、其他收入</w:t>
            </w:r>
          </w:p>
        </w:tc>
        <w:tc>
          <w:tcPr>
            <w:tcW w:w="4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23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819"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lang w:eastAsia="zh-CN"/>
              </w:rPr>
            </w:pPr>
            <w:r>
              <w:rPr>
                <w:rFonts w:hint="eastAsia" w:ascii="宋体" w:hAnsi="宋体" w:eastAsia="宋体" w:cs="宋体"/>
                <w:kern w:val="0"/>
                <w:sz w:val="22"/>
                <w:lang w:eastAsia="zh-CN"/>
              </w:rPr>
              <w:t>八、住房保障支出</w:t>
            </w:r>
          </w:p>
        </w:tc>
        <w:tc>
          <w:tcPr>
            <w:tcW w:w="8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3655"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lang w:val="en-US" w:eastAsia="zh-CN"/>
              </w:rPr>
              <w:t xml:space="preserve">                            </w:t>
            </w:r>
            <w:r>
              <w:rPr>
                <w:rFonts w:hint="eastAsia"/>
              </w:rPr>
              <w:t>10.64</w:t>
            </w:r>
          </w:p>
        </w:tc>
      </w:tr>
      <w:tr>
        <w:tblPrEx>
          <w:tblCellMar>
            <w:top w:w="0" w:type="dxa"/>
            <w:left w:w="108" w:type="dxa"/>
            <w:bottom w:w="0" w:type="dxa"/>
            <w:right w:w="108" w:type="dxa"/>
          </w:tblCellMar>
        </w:tblPrEx>
        <w:trPr>
          <w:trHeight w:val="356" w:hRule="atLeast"/>
        </w:trPr>
        <w:tc>
          <w:tcPr>
            <w:tcW w:w="4149"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4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237"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81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8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365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356" w:hRule="atLeast"/>
        </w:trPr>
        <w:tc>
          <w:tcPr>
            <w:tcW w:w="414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23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771.06</w:t>
            </w:r>
          </w:p>
        </w:tc>
        <w:tc>
          <w:tcPr>
            <w:tcW w:w="3819"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8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365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rPr>
              <w:t>771.06</w:t>
            </w:r>
          </w:p>
        </w:tc>
      </w:tr>
      <w:tr>
        <w:tblPrEx>
          <w:tblCellMar>
            <w:top w:w="0" w:type="dxa"/>
            <w:left w:w="108" w:type="dxa"/>
            <w:bottom w:w="0" w:type="dxa"/>
            <w:right w:w="108" w:type="dxa"/>
          </w:tblCellMar>
        </w:tblPrEx>
        <w:trPr>
          <w:trHeight w:val="356" w:hRule="atLeast"/>
        </w:trPr>
        <w:tc>
          <w:tcPr>
            <w:tcW w:w="414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使用非财政拨款结余</w:t>
            </w:r>
          </w:p>
        </w:tc>
        <w:tc>
          <w:tcPr>
            <w:tcW w:w="4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237"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81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结余分配</w:t>
            </w:r>
          </w:p>
        </w:tc>
        <w:tc>
          <w:tcPr>
            <w:tcW w:w="8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365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56" w:hRule="atLeast"/>
        </w:trPr>
        <w:tc>
          <w:tcPr>
            <w:tcW w:w="414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年初结转和结余</w:t>
            </w:r>
          </w:p>
        </w:tc>
        <w:tc>
          <w:tcPr>
            <w:tcW w:w="4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237"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81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年末结转和结余</w:t>
            </w:r>
          </w:p>
        </w:tc>
        <w:tc>
          <w:tcPr>
            <w:tcW w:w="8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365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56" w:hRule="atLeast"/>
        </w:trPr>
        <w:tc>
          <w:tcPr>
            <w:tcW w:w="4149"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23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771.06</w:t>
            </w:r>
          </w:p>
        </w:tc>
        <w:tc>
          <w:tcPr>
            <w:tcW w:w="3819"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8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365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bCs/>
                <w:kern w:val="0"/>
                <w:sz w:val="22"/>
              </w:rPr>
            </w:pPr>
            <w:r>
              <w:rPr>
                <w:rFonts w:hint="eastAsia"/>
              </w:rPr>
              <w:t>771.06</w:t>
            </w:r>
          </w:p>
        </w:tc>
      </w:tr>
      <w:tr>
        <w:tblPrEx>
          <w:tblCellMar>
            <w:top w:w="0" w:type="dxa"/>
            <w:left w:w="108" w:type="dxa"/>
            <w:bottom w:w="0" w:type="dxa"/>
            <w:right w:w="108" w:type="dxa"/>
          </w:tblCellMar>
        </w:tblPrEx>
        <w:trPr>
          <w:trHeight w:val="1048" w:hRule="atLeast"/>
        </w:trPr>
        <w:tc>
          <w:tcPr>
            <w:tcW w:w="14160"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注：1.本表反映部门本年度的总收支和年末结转结余情况。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2.本套报表金额单位转换时可能存在尾数误差。</w:t>
            </w:r>
          </w:p>
        </w:tc>
      </w:tr>
    </w:tbl>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tbl>
      <w:tblPr>
        <w:tblStyle w:val="5"/>
        <w:tblW w:w="14572" w:type="dxa"/>
        <w:tblInd w:w="0" w:type="dxa"/>
        <w:tblLayout w:type="autofit"/>
        <w:tblCellMar>
          <w:top w:w="0" w:type="dxa"/>
          <w:left w:w="0" w:type="dxa"/>
          <w:bottom w:w="0" w:type="dxa"/>
          <w:right w:w="0" w:type="dxa"/>
        </w:tblCellMar>
      </w:tblPr>
      <w:tblGrid>
        <w:gridCol w:w="400"/>
        <w:gridCol w:w="400"/>
        <w:gridCol w:w="1369"/>
        <w:gridCol w:w="1671"/>
        <w:gridCol w:w="1671"/>
        <w:gridCol w:w="1671"/>
        <w:gridCol w:w="1671"/>
        <w:gridCol w:w="1671"/>
        <w:gridCol w:w="1671"/>
        <w:gridCol w:w="2377"/>
      </w:tblGrid>
      <w:tr>
        <w:tblPrEx>
          <w:tblCellMar>
            <w:top w:w="0" w:type="dxa"/>
            <w:left w:w="0" w:type="dxa"/>
            <w:bottom w:w="0" w:type="dxa"/>
            <w:right w:w="0" w:type="dxa"/>
          </w:tblCellMar>
        </w:tblPrEx>
        <w:trPr>
          <w:trHeight w:val="435" w:hRule="atLeast"/>
        </w:trPr>
        <w:tc>
          <w:tcPr>
            <w:tcW w:w="14572" w:type="dxa"/>
            <w:gridSpan w:val="10"/>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40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40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6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7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800"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136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7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2169"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67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237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80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1369"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37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344" w:hRule="atLeast"/>
        </w:trPr>
        <w:tc>
          <w:tcPr>
            <w:tcW w:w="80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69"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37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381" w:hRule="atLeast"/>
        </w:trPr>
        <w:tc>
          <w:tcPr>
            <w:tcW w:w="216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67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67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67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67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67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67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23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79" w:hRule="atLeast"/>
        </w:trPr>
        <w:tc>
          <w:tcPr>
            <w:tcW w:w="216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771.06</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753.46</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17.60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79"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208</w:t>
            </w:r>
          </w:p>
        </w:tc>
        <w:tc>
          <w:tcPr>
            <w:tcW w:w="13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760.42</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742.82</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17.60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79"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20802</w:t>
            </w:r>
          </w:p>
        </w:tc>
        <w:tc>
          <w:tcPr>
            <w:tcW w:w="13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民政管理事务</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华文中宋" w:hAnsi="华文中宋" w:eastAsia="华文中宋" w:cs="宋体"/>
                <w:sz w:val="24"/>
                <w:szCs w:val="24"/>
              </w:rPr>
            </w:pPr>
            <w:r>
              <w:rPr>
                <w:rFonts w:hint="eastAsia" w:ascii="宋体" w:hAnsi="宋体" w:eastAsia="宋体" w:cs="宋体"/>
                <w:i w:val="0"/>
                <w:iCs w:val="0"/>
                <w:color w:val="000000"/>
                <w:kern w:val="0"/>
                <w:sz w:val="22"/>
                <w:szCs w:val="22"/>
                <w:u w:val="none"/>
                <w:lang w:val="en-US" w:eastAsia="zh-CN" w:bidi="ar"/>
              </w:rPr>
              <w:t>396.91</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379.31</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17.60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79"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2080201</w:t>
            </w:r>
          </w:p>
        </w:tc>
        <w:tc>
          <w:tcPr>
            <w:tcW w:w="13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256.47</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238.87</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17.60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79"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2080202</w:t>
            </w:r>
          </w:p>
        </w:tc>
        <w:tc>
          <w:tcPr>
            <w:tcW w:w="13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140.44</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140.44</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79"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20810</w:t>
            </w:r>
          </w:p>
        </w:tc>
        <w:tc>
          <w:tcPr>
            <w:tcW w:w="13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社会福利</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263.91</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263.91</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305"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2081004</w:t>
            </w:r>
          </w:p>
        </w:tc>
        <w:tc>
          <w:tcPr>
            <w:tcW w:w="13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殡葬</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263.91</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263.91</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79"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20821</w:t>
            </w:r>
          </w:p>
        </w:tc>
        <w:tc>
          <w:tcPr>
            <w:tcW w:w="13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特困人员救助供养</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99.61</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99.61</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79"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2082102</w:t>
            </w:r>
          </w:p>
        </w:tc>
        <w:tc>
          <w:tcPr>
            <w:tcW w:w="13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农村特困人员救助供养支出</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99.61</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99.61</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79"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221</w:t>
            </w:r>
          </w:p>
        </w:tc>
        <w:tc>
          <w:tcPr>
            <w:tcW w:w="13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住房保障支出</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10.64</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10.64</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79"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22102</w:t>
            </w:r>
          </w:p>
        </w:tc>
        <w:tc>
          <w:tcPr>
            <w:tcW w:w="13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住房改革支出</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10.64</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10.64</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79"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2210201</w:t>
            </w:r>
          </w:p>
        </w:tc>
        <w:tc>
          <w:tcPr>
            <w:tcW w:w="13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10.64</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10.64</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615" w:hRule="atLeast"/>
        </w:trPr>
        <w:tc>
          <w:tcPr>
            <w:tcW w:w="14572"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方正小标宋_GBK" w:cs="Times New Roman"/>
          <w:color w:val="000000"/>
          <w:kern w:val="0"/>
          <w:sz w:val="36"/>
          <w:szCs w:val="36"/>
        </w:rPr>
      </w:pPr>
    </w:p>
    <w:tbl>
      <w:tblPr>
        <w:tblStyle w:val="5"/>
        <w:tblW w:w="13183" w:type="dxa"/>
        <w:tblInd w:w="91" w:type="dxa"/>
        <w:tblLayout w:type="fixed"/>
        <w:tblCellMar>
          <w:top w:w="0" w:type="dxa"/>
          <w:left w:w="108" w:type="dxa"/>
          <w:bottom w:w="0" w:type="dxa"/>
          <w:right w:w="108" w:type="dxa"/>
        </w:tblCellMar>
      </w:tblPr>
      <w:tblGrid>
        <w:gridCol w:w="1042"/>
        <w:gridCol w:w="222"/>
        <w:gridCol w:w="2221"/>
        <w:gridCol w:w="1248"/>
        <w:gridCol w:w="1296"/>
        <w:gridCol w:w="1488"/>
        <w:gridCol w:w="1679"/>
        <w:gridCol w:w="2029"/>
        <w:gridCol w:w="1958"/>
      </w:tblGrid>
      <w:tr>
        <w:tblPrEx>
          <w:tblCellMar>
            <w:top w:w="0" w:type="dxa"/>
            <w:left w:w="108" w:type="dxa"/>
            <w:bottom w:w="0" w:type="dxa"/>
            <w:right w:w="108" w:type="dxa"/>
          </w:tblCellMar>
        </w:tblPrEx>
        <w:trPr>
          <w:trHeight w:val="435" w:hRule="atLeast"/>
        </w:trPr>
        <w:tc>
          <w:tcPr>
            <w:tcW w:w="13183"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2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4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9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2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8"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2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2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4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9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8"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2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8"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50" w:hRule="atLeast"/>
        </w:trPr>
        <w:tc>
          <w:tcPr>
            <w:tcW w:w="348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24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29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48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202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195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450" w:hRule="atLeast"/>
        </w:trPr>
        <w:tc>
          <w:tcPr>
            <w:tcW w:w="126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22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2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0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2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0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3485"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24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29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48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67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202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95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450" w:hRule="atLeast"/>
        </w:trPr>
        <w:tc>
          <w:tcPr>
            <w:tcW w:w="3485"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2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771.06</w:t>
            </w:r>
          </w:p>
        </w:tc>
        <w:tc>
          <w:tcPr>
            <w:tcW w:w="12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366.71</w:t>
            </w:r>
          </w:p>
        </w:tc>
        <w:tc>
          <w:tcPr>
            <w:tcW w:w="14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404.35</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2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9"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w:t>
            </w:r>
          </w:p>
        </w:tc>
        <w:tc>
          <w:tcPr>
            <w:tcW w:w="222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2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760.42</w:t>
            </w:r>
          </w:p>
        </w:tc>
        <w:tc>
          <w:tcPr>
            <w:tcW w:w="12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356.07</w:t>
            </w:r>
          </w:p>
        </w:tc>
        <w:tc>
          <w:tcPr>
            <w:tcW w:w="14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404.35</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2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9"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20802</w:t>
            </w:r>
          </w:p>
        </w:tc>
        <w:tc>
          <w:tcPr>
            <w:tcW w:w="222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民政管理事务</w:t>
            </w:r>
          </w:p>
        </w:tc>
        <w:tc>
          <w:tcPr>
            <w:tcW w:w="12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396.91</w:t>
            </w:r>
          </w:p>
        </w:tc>
        <w:tc>
          <w:tcPr>
            <w:tcW w:w="12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256.47</w:t>
            </w:r>
          </w:p>
        </w:tc>
        <w:tc>
          <w:tcPr>
            <w:tcW w:w="14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140.44</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02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5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79"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2080201</w:t>
            </w:r>
          </w:p>
        </w:tc>
        <w:tc>
          <w:tcPr>
            <w:tcW w:w="222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256.47</w:t>
            </w:r>
          </w:p>
        </w:tc>
        <w:tc>
          <w:tcPr>
            <w:tcW w:w="12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256.47</w:t>
            </w:r>
          </w:p>
        </w:tc>
        <w:tc>
          <w:tcPr>
            <w:tcW w:w="148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02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5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79"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2080202</w:t>
            </w:r>
          </w:p>
        </w:tc>
        <w:tc>
          <w:tcPr>
            <w:tcW w:w="222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140.44</w:t>
            </w:r>
          </w:p>
        </w:tc>
        <w:tc>
          <w:tcPr>
            <w:tcW w:w="129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4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140.44</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02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5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79"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20810</w:t>
            </w:r>
          </w:p>
        </w:tc>
        <w:tc>
          <w:tcPr>
            <w:tcW w:w="222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社会福利</w:t>
            </w:r>
          </w:p>
        </w:tc>
        <w:tc>
          <w:tcPr>
            <w:tcW w:w="12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263.91</w:t>
            </w:r>
          </w:p>
        </w:tc>
        <w:tc>
          <w:tcPr>
            <w:tcW w:w="129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4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263.91</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02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5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79"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2081004</w:t>
            </w:r>
          </w:p>
        </w:tc>
        <w:tc>
          <w:tcPr>
            <w:tcW w:w="222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殡葬</w:t>
            </w:r>
          </w:p>
        </w:tc>
        <w:tc>
          <w:tcPr>
            <w:tcW w:w="12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263.91</w:t>
            </w:r>
          </w:p>
        </w:tc>
        <w:tc>
          <w:tcPr>
            <w:tcW w:w="129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4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263.91</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02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5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79"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20821</w:t>
            </w:r>
          </w:p>
        </w:tc>
        <w:tc>
          <w:tcPr>
            <w:tcW w:w="222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特困人员救助供养</w:t>
            </w:r>
          </w:p>
        </w:tc>
        <w:tc>
          <w:tcPr>
            <w:tcW w:w="12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99.61</w:t>
            </w:r>
          </w:p>
        </w:tc>
        <w:tc>
          <w:tcPr>
            <w:tcW w:w="12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99.61</w:t>
            </w:r>
          </w:p>
        </w:tc>
        <w:tc>
          <w:tcPr>
            <w:tcW w:w="148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02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5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79"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2082102</w:t>
            </w:r>
          </w:p>
        </w:tc>
        <w:tc>
          <w:tcPr>
            <w:tcW w:w="222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农村特困人员救助供养支出</w:t>
            </w:r>
          </w:p>
        </w:tc>
        <w:tc>
          <w:tcPr>
            <w:tcW w:w="12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99.61</w:t>
            </w:r>
          </w:p>
        </w:tc>
        <w:tc>
          <w:tcPr>
            <w:tcW w:w="12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99.61</w:t>
            </w:r>
          </w:p>
        </w:tc>
        <w:tc>
          <w:tcPr>
            <w:tcW w:w="148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2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9"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w:t>
            </w:r>
          </w:p>
        </w:tc>
        <w:tc>
          <w:tcPr>
            <w:tcW w:w="222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住房保障支出</w:t>
            </w:r>
          </w:p>
        </w:tc>
        <w:tc>
          <w:tcPr>
            <w:tcW w:w="12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10.64</w:t>
            </w:r>
          </w:p>
        </w:tc>
        <w:tc>
          <w:tcPr>
            <w:tcW w:w="12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10.64</w:t>
            </w:r>
          </w:p>
        </w:tc>
        <w:tc>
          <w:tcPr>
            <w:tcW w:w="148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2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9"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22102</w:t>
            </w:r>
          </w:p>
        </w:tc>
        <w:tc>
          <w:tcPr>
            <w:tcW w:w="222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住房改革支出</w:t>
            </w:r>
          </w:p>
        </w:tc>
        <w:tc>
          <w:tcPr>
            <w:tcW w:w="12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10.64</w:t>
            </w:r>
          </w:p>
        </w:tc>
        <w:tc>
          <w:tcPr>
            <w:tcW w:w="12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10.64</w:t>
            </w:r>
          </w:p>
        </w:tc>
        <w:tc>
          <w:tcPr>
            <w:tcW w:w="148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2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9"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222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2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10.64</w:t>
            </w:r>
          </w:p>
        </w:tc>
        <w:tc>
          <w:tcPr>
            <w:tcW w:w="12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10.64</w:t>
            </w:r>
          </w:p>
        </w:tc>
        <w:tc>
          <w:tcPr>
            <w:tcW w:w="148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2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630" w:hRule="atLeast"/>
        </w:trPr>
        <w:tc>
          <w:tcPr>
            <w:tcW w:w="13183"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tbl>
      <w:tblPr>
        <w:tblStyle w:val="5"/>
        <w:tblW w:w="15522" w:type="dxa"/>
        <w:tblInd w:w="91" w:type="dxa"/>
        <w:tblLayout w:type="autofit"/>
        <w:tblCellMar>
          <w:top w:w="0" w:type="dxa"/>
          <w:left w:w="108" w:type="dxa"/>
          <w:bottom w:w="0" w:type="dxa"/>
          <w:right w:w="108" w:type="dxa"/>
        </w:tblCellMar>
      </w:tblPr>
      <w:tblGrid>
        <w:gridCol w:w="3596"/>
        <w:gridCol w:w="436"/>
        <w:gridCol w:w="1078"/>
        <w:gridCol w:w="496"/>
        <w:gridCol w:w="2915"/>
        <w:gridCol w:w="632"/>
        <w:gridCol w:w="435"/>
        <w:gridCol w:w="1573"/>
        <w:gridCol w:w="1394"/>
        <w:gridCol w:w="1394"/>
        <w:gridCol w:w="1573"/>
      </w:tblGrid>
      <w:tr>
        <w:tblPrEx>
          <w:tblCellMar>
            <w:top w:w="0" w:type="dxa"/>
            <w:left w:w="108" w:type="dxa"/>
            <w:bottom w:w="0" w:type="dxa"/>
            <w:right w:w="108" w:type="dxa"/>
          </w:tblCellMar>
        </w:tblPrEx>
        <w:trPr>
          <w:trHeight w:val="285" w:hRule="atLeast"/>
        </w:trPr>
        <w:tc>
          <w:tcPr>
            <w:tcW w:w="3596"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2"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6"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1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23"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753.46</w:t>
            </w: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33</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34</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35</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36</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37</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38</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39</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8</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742.82</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742.82</w:t>
            </w: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九、卫生健康支出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41</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十、节能环保支出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42</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11</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十一、城乡社区支出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十二、农林水支出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44</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13</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十三、交通运输支出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45</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46</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15</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47</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16</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十六、金融支出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48</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17</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49</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18</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50</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19</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十九、住房保障支出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51</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10.64</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10.64</w:t>
            </w: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20</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52</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21</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53</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22</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54</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23</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二十三、其他支出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55</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24</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56</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25</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57</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26</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58</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b/>
                <w:bCs/>
                <w:i w:val="0"/>
                <w:iCs w:val="0"/>
                <w:color w:val="000000"/>
                <w:kern w:val="0"/>
                <w:sz w:val="22"/>
                <w:szCs w:val="22"/>
                <w:u w:val="none"/>
                <w:lang w:val="en-US" w:eastAsia="zh-CN" w:bidi="ar"/>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27</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753.46</w:t>
            </w: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59</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753.46</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753.46</w:t>
            </w: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28</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60</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29</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61</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30</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62</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31</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kern w:val="0"/>
                <w:sz w:val="24"/>
                <w:szCs w:val="24"/>
              </w:rPr>
            </w:pP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63</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32</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753.46</w:t>
            </w: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64</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753.46</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753.46</w:t>
            </w: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585" w:hRule="atLeast"/>
        </w:trPr>
        <w:tc>
          <w:tcPr>
            <w:tcW w:w="15522"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tbl>
      <w:tblPr>
        <w:tblStyle w:val="5"/>
        <w:tblW w:w="116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83"/>
        <w:gridCol w:w="539"/>
        <w:gridCol w:w="538"/>
        <w:gridCol w:w="3117"/>
        <w:gridCol w:w="2323"/>
        <w:gridCol w:w="2080"/>
        <w:gridCol w:w="26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670" w:type="dxa"/>
            <w:gridSpan w:val="7"/>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97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60"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9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759"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306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6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59"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6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6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59"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9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753.46</w:t>
            </w:r>
          </w:p>
        </w:tc>
        <w:tc>
          <w:tcPr>
            <w:tcW w:w="17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349.11</w:t>
            </w:r>
          </w:p>
        </w:tc>
        <w:tc>
          <w:tcPr>
            <w:tcW w:w="22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6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9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742.82</w:t>
            </w:r>
          </w:p>
        </w:tc>
        <w:tc>
          <w:tcPr>
            <w:tcW w:w="17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338.47</w:t>
            </w:r>
          </w:p>
        </w:tc>
        <w:tc>
          <w:tcPr>
            <w:tcW w:w="22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w:t>
            </w:r>
          </w:p>
        </w:tc>
        <w:tc>
          <w:tcPr>
            <w:tcW w:w="26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民政管理事务</w:t>
            </w:r>
          </w:p>
        </w:tc>
        <w:tc>
          <w:tcPr>
            <w:tcW w:w="19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379.31</w:t>
            </w:r>
          </w:p>
        </w:tc>
        <w:tc>
          <w:tcPr>
            <w:tcW w:w="17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238.87</w:t>
            </w:r>
          </w:p>
        </w:tc>
        <w:tc>
          <w:tcPr>
            <w:tcW w:w="22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2080201</w:t>
            </w:r>
          </w:p>
        </w:tc>
        <w:tc>
          <w:tcPr>
            <w:tcW w:w="26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9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238.87</w:t>
            </w:r>
          </w:p>
        </w:tc>
        <w:tc>
          <w:tcPr>
            <w:tcW w:w="17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238.87</w:t>
            </w:r>
          </w:p>
        </w:tc>
        <w:tc>
          <w:tcPr>
            <w:tcW w:w="225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2080202</w:t>
            </w:r>
          </w:p>
        </w:tc>
        <w:tc>
          <w:tcPr>
            <w:tcW w:w="26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9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140.44</w:t>
            </w:r>
          </w:p>
        </w:tc>
        <w:tc>
          <w:tcPr>
            <w:tcW w:w="175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2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w:t>
            </w:r>
          </w:p>
        </w:tc>
        <w:tc>
          <w:tcPr>
            <w:tcW w:w="26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社会福利</w:t>
            </w:r>
          </w:p>
        </w:tc>
        <w:tc>
          <w:tcPr>
            <w:tcW w:w="19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263.91</w:t>
            </w:r>
          </w:p>
        </w:tc>
        <w:tc>
          <w:tcPr>
            <w:tcW w:w="175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2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2081004</w:t>
            </w:r>
          </w:p>
        </w:tc>
        <w:tc>
          <w:tcPr>
            <w:tcW w:w="26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殡葬</w:t>
            </w:r>
          </w:p>
        </w:tc>
        <w:tc>
          <w:tcPr>
            <w:tcW w:w="19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263.91</w:t>
            </w:r>
          </w:p>
        </w:tc>
        <w:tc>
          <w:tcPr>
            <w:tcW w:w="175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2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20821</w:t>
            </w:r>
          </w:p>
        </w:tc>
        <w:tc>
          <w:tcPr>
            <w:tcW w:w="26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特困人员救助供养</w:t>
            </w:r>
          </w:p>
        </w:tc>
        <w:tc>
          <w:tcPr>
            <w:tcW w:w="19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99.61</w:t>
            </w:r>
          </w:p>
        </w:tc>
        <w:tc>
          <w:tcPr>
            <w:tcW w:w="17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99.61</w:t>
            </w:r>
          </w:p>
        </w:tc>
        <w:tc>
          <w:tcPr>
            <w:tcW w:w="225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2082102</w:t>
            </w:r>
          </w:p>
        </w:tc>
        <w:tc>
          <w:tcPr>
            <w:tcW w:w="26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农村特困人员救助供养支出</w:t>
            </w:r>
          </w:p>
        </w:tc>
        <w:tc>
          <w:tcPr>
            <w:tcW w:w="19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99.61</w:t>
            </w:r>
          </w:p>
        </w:tc>
        <w:tc>
          <w:tcPr>
            <w:tcW w:w="17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99.61</w:t>
            </w:r>
          </w:p>
        </w:tc>
        <w:tc>
          <w:tcPr>
            <w:tcW w:w="225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26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9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w:t>
            </w:r>
          </w:p>
        </w:tc>
        <w:tc>
          <w:tcPr>
            <w:tcW w:w="17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w:t>
            </w:r>
          </w:p>
        </w:tc>
        <w:tc>
          <w:tcPr>
            <w:tcW w:w="225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26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9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w:t>
            </w:r>
          </w:p>
        </w:tc>
        <w:tc>
          <w:tcPr>
            <w:tcW w:w="17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w:t>
            </w:r>
          </w:p>
        </w:tc>
        <w:tc>
          <w:tcPr>
            <w:tcW w:w="225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26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9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w:t>
            </w:r>
          </w:p>
        </w:tc>
        <w:tc>
          <w:tcPr>
            <w:tcW w:w="17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w:t>
            </w:r>
          </w:p>
        </w:tc>
        <w:tc>
          <w:tcPr>
            <w:tcW w:w="225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widowControl/>
        <w:jc w:val="both"/>
        <w:rPr>
          <w:rFonts w:ascii="Times New Roman" w:hAnsi="Times New Roman" w:eastAsia="方正小标宋_GBK" w:cs="Times New Roman"/>
          <w:kern w:val="0"/>
          <w:sz w:val="36"/>
          <w:szCs w:val="36"/>
        </w:rPr>
      </w:pPr>
    </w:p>
    <w:bookmarkEnd w:id="1"/>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5"/>
        <w:tblW w:w="0" w:type="auto"/>
        <w:tblInd w:w="0" w:type="dxa"/>
        <w:tblLayout w:type="autofit"/>
        <w:tblCellMar>
          <w:top w:w="0" w:type="dxa"/>
          <w:left w:w="108" w:type="dxa"/>
          <w:bottom w:w="0" w:type="dxa"/>
          <w:right w:w="108" w:type="dxa"/>
        </w:tblCellMar>
      </w:tblPr>
      <w:tblGrid>
        <w:gridCol w:w="1338"/>
        <w:gridCol w:w="3366"/>
        <w:gridCol w:w="951"/>
        <w:gridCol w:w="944"/>
        <w:gridCol w:w="2316"/>
        <w:gridCol w:w="766"/>
        <w:gridCol w:w="900"/>
        <w:gridCol w:w="4206"/>
        <w:gridCol w:w="827"/>
      </w:tblGrid>
      <w:tr>
        <w:tblPrEx>
          <w:tblCellMar>
            <w:top w:w="0" w:type="dxa"/>
            <w:left w:w="108" w:type="dxa"/>
            <w:bottom w:w="0" w:type="dxa"/>
            <w:right w:w="108" w:type="dxa"/>
          </w:tblCellMar>
        </w:tblPrEx>
        <w:trPr>
          <w:trHeight w:val="113" w:hRule="atLeast"/>
        </w:trPr>
        <w:tc>
          <w:tcPr>
            <w:tcW w:w="0" w:type="auto"/>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13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9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312.18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33.78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82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9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49.60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3.71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82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9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49.22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82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95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82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1.24</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9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82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50.50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82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1.24</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95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8.83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82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95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82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9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10.73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82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95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82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9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0.20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82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9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10.64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82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95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82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9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135.66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82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9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0.23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82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95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82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95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82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95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11.06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82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95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82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9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82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95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2"/>
                <w:sz w:val="22"/>
                <w:szCs w:val="22"/>
                <w:u w:val="none"/>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82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95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2"/>
                <w:sz w:val="22"/>
                <w:szCs w:val="22"/>
                <w:u w:val="none"/>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82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95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4.08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82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95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82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95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82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95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2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95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1.73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2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5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2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9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314.09</w:t>
            </w:r>
          </w:p>
        </w:tc>
        <w:tc>
          <w:tcPr>
            <w:tcW w:w="0" w:type="auto"/>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82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35.02</w:t>
            </w:r>
          </w:p>
        </w:tc>
      </w:tr>
      <w:tr>
        <w:tblPrEx>
          <w:tblCellMar>
            <w:top w:w="0" w:type="dxa"/>
            <w:left w:w="108" w:type="dxa"/>
            <w:bottom w:w="0" w:type="dxa"/>
            <w:right w:w="108" w:type="dxa"/>
          </w:tblCellMar>
        </w:tblPrEx>
        <w:trPr>
          <w:trHeight w:val="284" w:hRule="exact"/>
        </w:trPr>
        <w:tc>
          <w:tcPr>
            <w:tcW w:w="0" w:type="auto"/>
            <w:gridSpan w:val="9"/>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30.00</w:t>
            </w: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30.00</w:t>
            </w: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30.00</w:t>
            </w: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26.22</w:t>
            </w: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26.22</w:t>
            </w: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nil"/>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26.22</w:t>
            </w:r>
          </w:p>
        </w:tc>
        <w:tc>
          <w:tcPr>
            <w:tcW w:w="1220" w:type="dxa"/>
            <w:tcBorders>
              <w:top w:val="nil"/>
              <w:left w:val="single" w:color="auto" w:sz="4" w:space="0"/>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bl>
    <w:p>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r>
        <w:rPr>
          <w:rFonts w:ascii="Times New Roman" w:hAnsi="Times New Roman" w:eastAsia="仿宋_GB2312" w:cs="Times New Roman"/>
          <w:kern w:val="0"/>
          <w:szCs w:val="21"/>
        </w:rPr>
        <w:t>)。</w:t>
      </w:r>
    </w:p>
    <w:p>
      <w:pPr>
        <w:widowControl/>
        <w:jc w:val="left"/>
        <w:rPr>
          <w:rFonts w:ascii="黑体" w:hAnsi="黑体" w:eastAsia="黑体"/>
          <w:szCs w:val="21"/>
        </w:rPr>
      </w:pPr>
      <w:r>
        <w:rPr>
          <w:rFonts w:ascii="黑体" w:hAnsi="黑体" w:eastAsia="黑体"/>
          <w:szCs w:val="21"/>
        </w:rPr>
        <w:br w:type="page"/>
      </w:r>
    </w:p>
    <w:tbl>
      <w:tblPr>
        <w:tblStyle w:val="5"/>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rPr>
          <w:trHeight w:val="285" w:hRule="atLeast"/>
        </w:trPr>
        <w:tc>
          <w:tcPr>
            <w:tcW w:w="1060"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pPr>
        <w:pStyle w:val="9"/>
        <w:rPr>
          <w:sz w:val="72"/>
          <w:szCs w:val="72"/>
        </w:rPr>
        <w:sectPr>
          <w:pgSz w:w="16838" w:h="11906" w:orient="landscape"/>
          <w:pgMar w:top="720" w:right="720" w:bottom="720" w:left="720" w:header="851" w:footer="992" w:gutter="0"/>
          <w:cols w:space="425" w:num="1"/>
          <w:docGrid w:type="lines" w:linePitch="312" w:charSpace="0"/>
        </w:sectPr>
      </w:pPr>
    </w:p>
    <w:p>
      <w:pPr>
        <w:pStyle w:val="9"/>
        <w:rPr>
          <w:sz w:val="72"/>
          <w:szCs w:val="72"/>
        </w:rPr>
      </w:pPr>
    </w:p>
    <w:p>
      <w:pPr>
        <w:pStyle w:val="9"/>
        <w:rPr>
          <w:sz w:val="72"/>
          <w:szCs w:val="72"/>
        </w:rPr>
      </w:pPr>
    </w:p>
    <w:p>
      <w:pPr>
        <w:pStyle w:val="9"/>
        <w:rPr>
          <w:sz w:val="72"/>
          <w:szCs w:val="72"/>
        </w:rPr>
      </w:pPr>
    </w:p>
    <w:p>
      <w:pPr>
        <w:pStyle w:val="9"/>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第三部分</w:t>
      </w:r>
    </w:p>
    <w:p>
      <w:pPr>
        <w:pStyle w:val="9"/>
        <w:jc w:val="center"/>
        <w:rPr>
          <w:sz w:val="70"/>
          <w:szCs w:val="70"/>
        </w:rPr>
      </w:pPr>
    </w:p>
    <w:p>
      <w:pPr>
        <w:pStyle w:val="9"/>
        <w:jc w:val="center"/>
        <w:rPr>
          <w:sz w:val="70"/>
          <w:szCs w:val="70"/>
        </w:rPr>
      </w:pPr>
      <w:r>
        <w:rPr>
          <w:sz w:val="70"/>
          <w:szCs w:val="70"/>
        </w:rPr>
        <w:t>20</w:t>
      </w:r>
      <w:r>
        <w:rPr>
          <w:rFonts w:hint="eastAsia"/>
          <w:sz w:val="70"/>
          <w:szCs w:val="70"/>
        </w:rPr>
        <w:t>21年度部门决算情况说明</w:t>
      </w:r>
    </w:p>
    <w:p>
      <w:pPr>
        <w:widowControl/>
        <w:jc w:val="left"/>
        <w:rPr>
          <w:rFonts w:ascii="黑体" w:eastAsia="黑体" w:cs="黑体"/>
          <w:color w:val="000000"/>
          <w:kern w:val="0"/>
          <w:sz w:val="70"/>
          <w:szCs w:val="70"/>
        </w:rPr>
      </w:pPr>
      <w:r>
        <w:rPr>
          <w:sz w:val="70"/>
          <w:szCs w:val="70"/>
        </w:rPr>
        <w:br w:type="page"/>
      </w:r>
    </w:p>
    <w:p>
      <w:pPr>
        <w:pStyle w:val="9"/>
        <w:rPr>
          <w:rFonts w:asciiTheme="minorEastAsia" w:hAnsiTheme="minorEastAsia" w:eastAsiaTheme="minorEastAsia"/>
          <w:sz w:val="32"/>
          <w:szCs w:val="32"/>
        </w:rPr>
      </w:pPr>
    </w:p>
    <w:p>
      <w:pPr>
        <w:pStyle w:val="9"/>
        <w:rPr>
          <w:rFonts w:hAnsi="黑体"/>
          <w:b/>
          <w:sz w:val="32"/>
          <w:szCs w:val="32"/>
        </w:rPr>
      </w:pPr>
      <w:r>
        <w:rPr>
          <w:rFonts w:hint="eastAsia" w:hAnsi="黑体"/>
          <w:b/>
          <w:sz w:val="32"/>
          <w:szCs w:val="32"/>
        </w:rPr>
        <w:t>一、收入支出决算总体情况说明</w:t>
      </w:r>
    </w:p>
    <w:p>
      <w:pPr>
        <w:pStyle w:val="9"/>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2021年度收、支总计771.06万元。与上年相比，</w:t>
      </w:r>
      <w:r>
        <w:rPr>
          <w:rFonts w:hint="eastAsia" w:asciiTheme="minorEastAsia" w:hAnsiTheme="minorEastAsia" w:eastAsiaTheme="minorEastAsia"/>
          <w:sz w:val="32"/>
          <w:szCs w:val="32"/>
          <w:lang w:eastAsia="zh-CN"/>
        </w:rPr>
        <w:t>增加</w:t>
      </w:r>
      <w:r>
        <w:rPr>
          <w:rFonts w:hint="eastAsia" w:asciiTheme="minorEastAsia" w:hAnsiTheme="minorEastAsia" w:eastAsiaTheme="minorEastAsia"/>
          <w:sz w:val="32"/>
          <w:szCs w:val="32"/>
          <w:lang w:val="en-US" w:eastAsia="zh-CN"/>
        </w:rPr>
        <w:t>103.68</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增加</w:t>
      </w:r>
      <w:r>
        <w:rPr>
          <w:rFonts w:hint="eastAsia" w:asciiTheme="minorEastAsia" w:hAnsiTheme="minorEastAsia" w:eastAsiaTheme="minorEastAsia"/>
          <w:sz w:val="32"/>
          <w:szCs w:val="32"/>
          <w:lang w:val="en-US" w:eastAsia="zh-CN"/>
        </w:rPr>
        <w:t>13.45</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一般公共预算财政拨款增多，社会保障就业的支出增多。</w:t>
      </w:r>
    </w:p>
    <w:p>
      <w:pPr>
        <w:pStyle w:val="9"/>
        <w:rPr>
          <w:rFonts w:hAnsi="黑体"/>
          <w:b/>
          <w:sz w:val="32"/>
          <w:szCs w:val="32"/>
        </w:rPr>
      </w:pPr>
      <w:r>
        <w:rPr>
          <w:rFonts w:hint="eastAsia" w:hAnsi="黑体"/>
          <w:b/>
          <w:sz w:val="32"/>
          <w:szCs w:val="32"/>
        </w:rPr>
        <w:t>二、收入决算情况说明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2021年度收入合计771.06万元，其中：财政拨款收入753.46万元，占</w:t>
      </w:r>
      <w:r>
        <w:rPr>
          <w:rFonts w:hint="eastAsia" w:asciiTheme="minorEastAsia" w:hAnsiTheme="minorEastAsia" w:eastAsiaTheme="minorEastAsia"/>
          <w:sz w:val="32"/>
          <w:szCs w:val="32"/>
          <w:lang w:val="en-US" w:eastAsia="zh-CN"/>
        </w:rPr>
        <w:t>97.72</w:t>
      </w:r>
      <w:r>
        <w:rPr>
          <w:rFonts w:hint="eastAsia" w:asciiTheme="minorEastAsia" w:hAnsiTheme="minorEastAsia" w:eastAsiaTheme="minorEastAsia"/>
          <w:sz w:val="32"/>
          <w:szCs w:val="32"/>
        </w:rPr>
        <w:t>%；上级补助收入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%；事业收入</w:t>
      </w:r>
      <w:r>
        <w:rPr>
          <w:rFonts w:hint="eastAsia" w:asciiTheme="minorEastAsia" w:hAnsiTheme="minorEastAsia" w:eastAsiaTheme="minorEastAsia"/>
          <w:sz w:val="32"/>
          <w:szCs w:val="32"/>
          <w:lang w:val="en-US" w:eastAsia="zh-CN"/>
        </w:rPr>
        <w:t>17.60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2.28</w:t>
      </w:r>
      <w:r>
        <w:rPr>
          <w:rFonts w:hint="eastAsia" w:asciiTheme="minorEastAsia" w:hAnsiTheme="minorEastAsia" w:eastAsiaTheme="minorEastAsia"/>
          <w:sz w:val="32"/>
          <w:szCs w:val="32"/>
        </w:rPr>
        <w:t>%；经营收入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%；附属单位上缴收入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9"/>
        <w:rPr>
          <w:rFonts w:hAnsi="黑体"/>
          <w:b/>
          <w:sz w:val="32"/>
          <w:szCs w:val="32"/>
        </w:rPr>
      </w:pPr>
      <w:r>
        <w:rPr>
          <w:rFonts w:hint="eastAsia" w:hAnsi="黑体"/>
          <w:b/>
          <w:sz w:val="32"/>
          <w:szCs w:val="32"/>
        </w:rPr>
        <w:t>三、支出决算情况说明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2021年度支出合计771.06万元，其中：基本支出366.71万元，占</w:t>
      </w:r>
      <w:r>
        <w:rPr>
          <w:rFonts w:hint="eastAsia" w:asciiTheme="minorEastAsia" w:hAnsiTheme="minorEastAsia" w:eastAsiaTheme="minorEastAsia"/>
          <w:sz w:val="32"/>
          <w:szCs w:val="32"/>
          <w:lang w:val="en-US" w:eastAsia="zh-CN"/>
        </w:rPr>
        <w:t>47.56</w:t>
      </w:r>
      <w:r>
        <w:rPr>
          <w:rFonts w:hint="eastAsia" w:asciiTheme="minorEastAsia" w:hAnsiTheme="minorEastAsia" w:eastAsiaTheme="minorEastAsia"/>
          <w:sz w:val="32"/>
          <w:szCs w:val="32"/>
        </w:rPr>
        <w:t>%；项目支出404.35万元，占</w:t>
      </w:r>
      <w:r>
        <w:rPr>
          <w:rFonts w:hint="eastAsia" w:asciiTheme="minorEastAsia" w:hAnsiTheme="minorEastAsia" w:eastAsiaTheme="minorEastAsia"/>
          <w:sz w:val="32"/>
          <w:szCs w:val="32"/>
          <w:lang w:val="en-US" w:eastAsia="zh-CN"/>
        </w:rPr>
        <w:t>52.44</w:t>
      </w:r>
      <w:r>
        <w:rPr>
          <w:rFonts w:hint="eastAsia" w:asciiTheme="minorEastAsia" w:hAnsiTheme="minorEastAsia" w:eastAsiaTheme="minorEastAsia"/>
          <w:sz w:val="32"/>
          <w:szCs w:val="32"/>
        </w:rPr>
        <w:t>%；上缴上级支出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%；对附属单位补助支出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9"/>
        <w:rPr>
          <w:rFonts w:hAnsi="黑体"/>
          <w:b/>
          <w:sz w:val="32"/>
          <w:szCs w:val="32"/>
        </w:rPr>
      </w:pPr>
      <w:r>
        <w:rPr>
          <w:rFonts w:hint="eastAsia" w:hAnsi="黑体"/>
          <w:b/>
          <w:sz w:val="32"/>
          <w:szCs w:val="32"/>
        </w:rPr>
        <w:t>四、财政拨款收入支出决算总体情况说明</w:t>
      </w:r>
    </w:p>
    <w:p>
      <w:pPr>
        <w:pStyle w:val="9"/>
        <w:rPr>
          <w:rFonts w:hAnsi="黑体"/>
          <w:b/>
          <w:sz w:val="32"/>
          <w:szCs w:val="32"/>
        </w:rPr>
      </w:pPr>
      <w:r>
        <w:rPr>
          <w:rFonts w:hint="eastAsia" w:asciiTheme="minorEastAsia" w:hAnsiTheme="minorEastAsia" w:eastAsiaTheme="minorEastAsia"/>
          <w:sz w:val="32"/>
          <w:szCs w:val="32"/>
        </w:rPr>
        <w:t xml:space="preserve">    2021年度财政拨款收、支总计</w:t>
      </w:r>
      <w:r>
        <w:rPr>
          <w:rFonts w:hint="eastAsia" w:asciiTheme="minorEastAsia" w:hAnsiTheme="minorEastAsia" w:eastAsiaTheme="minorEastAsia"/>
          <w:sz w:val="32"/>
          <w:szCs w:val="32"/>
          <w:lang w:val="en-US" w:eastAsia="zh-CN"/>
        </w:rPr>
        <w:t>753.46</w:t>
      </w:r>
      <w:r>
        <w:rPr>
          <w:rFonts w:hint="eastAsia" w:asciiTheme="minorEastAsia" w:hAnsiTheme="minorEastAsia" w:eastAsiaTheme="minorEastAsia"/>
          <w:sz w:val="32"/>
          <w:szCs w:val="32"/>
        </w:rPr>
        <w:t>万元，与上年相比，</w:t>
      </w:r>
      <w:r>
        <w:rPr>
          <w:rFonts w:hint="eastAsia" w:asciiTheme="minorEastAsia" w:hAnsiTheme="minorEastAsia" w:eastAsiaTheme="minorEastAsia"/>
          <w:sz w:val="32"/>
          <w:szCs w:val="32"/>
          <w:lang w:eastAsia="zh-CN"/>
        </w:rPr>
        <w:t>增加</w:t>
      </w:r>
      <w:r>
        <w:rPr>
          <w:rFonts w:hint="eastAsia" w:asciiTheme="minorEastAsia" w:hAnsiTheme="minorEastAsia" w:eastAsiaTheme="minorEastAsia"/>
          <w:sz w:val="32"/>
          <w:szCs w:val="32"/>
          <w:lang w:val="en-US" w:eastAsia="zh-CN"/>
        </w:rPr>
        <w:t>398.48</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增加</w:t>
      </w:r>
      <w:r>
        <w:rPr>
          <w:rFonts w:hint="eastAsia" w:asciiTheme="minorEastAsia" w:hAnsiTheme="minorEastAsia" w:eastAsiaTheme="minorEastAsia"/>
          <w:sz w:val="32"/>
          <w:szCs w:val="32"/>
          <w:lang w:val="en-US" w:eastAsia="zh-CN"/>
        </w:rPr>
        <w:t>52.89</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社会保障和就业支出增多。</w:t>
      </w:r>
      <w:r>
        <w:rPr>
          <w:rFonts w:hint="eastAsia" w:asciiTheme="minorEastAsia" w:hAnsiTheme="minorEastAsia" w:eastAsiaTheme="minorEastAsia"/>
          <w:sz w:val="32"/>
          <w:szCs w:val="32"/>
          <w:lang w:val="en-US" w:eastAsia="zh-CN"/>
        </w:rPr>
        <w:t xml:space="preserve">                            </w:t>
      </w:r>
      <w:r>
        <w:rPr>
          <w:rFonts w:hint="eastAsia" w:hAnsi="黑体"/>
          <w:b/>
          <w:sz w:val="32"/>
          <w:szCs w:val="32"/>
        </w:rPr>
        <w:t>五、一般公共预算财政拨款支出决算情况说明</w:t>
      </w:r>
    </w:p>
    <w:p>
      <w:pPr>
        <w:pStyle w:val="9"/>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9"/>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2021年度财政拨款支出753.46万元，占本年支出合计的</w:t>
      </w:r>
      <w:r>
        <w:rPr>
          <w:rFonts w:hint="eastAsia" w:asciiTheme="minorEastAsia" w:hAnsiTheme="minorEastAsia" w:eastAsiaTheme="minorEastAsia"/>
          <w:sz w:val="32"/>
          <w:szCs w:val="32"/>
          <w:lang w:val="en-US" w:eastAsia="zh-CN"/>
        </w:rPr>
        <w:t>97.72</w:t>
      </w:r>
      <w:r>
        <w:rPr>
          <w:rFonts w:hint="eastAsia" w:asciiTheme="minorEastAsia" w:hAnsiTheme="minorEastAsia" w:eastAsiaTheme="minorEastAsia"/>
          <w:sz w:val="32"/>
          <w:szCs w:val="32"/>
        </w:rPr>
        <w:t>%，与上年相比，财政拨款支出</w:t>
      </w:r>
      <w:r>
        <w:rPr>
          <w:rFonts w:hint="eastAsia" w:asciiTheme="minorEastAsia" w:hAnsiTheme="minorEastAsia" w:eastAsiaTheme="minorEastAsia"/>
          <w:sz w:val="32"/>
          <w:szCs w:val="32"/>
          <w:lang w:eastAsia="zh-CN"/>
        </w:rPr>
        <w:t>增加</w:t>
      </w:r>
      <w:r>
        <w:rPr>
          <w:rFonts w:hint="eastAsia" w:asciiTheme="minorEastAsia" w:hAnsiTheme="minorEastAsia" w:eastAsiaTheme="minorEastAsia"/>
          <w:sz w:val="32"/>
          <w:szCs w:val="32"/>
          <w:lang w:val="en-US" w:eastAsia="zh-CN"/>
        </w:rPr>
        <w:t>398.48</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增加</w:t>
      </w:r>
      <w:r>
        <w:rPr>
          <w:rFonts w:hint="eastAsia" w:asciiTheme="minorEastAsia" w:hAnsiTheme="minorEastAsia" w:eastAsiaTheme="minorEastAsia"/>
          <w:sz w:val="32"/>
          <w:szCs w:val="32"/>
          <w:lang w:val="en-US" w:eastAsia="zh-CN"/>
        </w:rPr>
        <w:t>52.89</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项目支出增多，基本支出增多。</w:t>
      </w:r>
    </w:p>
    <w:p>
      <w:pPr>
        <w:pStyle w:val="9"/>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9"/>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2021年度财政拨款支出753.46万元，主要用于以下方面：社会保障和就业（类）支出742.82万元，占</w:t>
      </w:r>
      <w:r>
        <w:rPr>
          <w:rFonts w:hint="eastAsia" w:asciiTheme="minorEastAsia" w:hAnsiTheme="minorEastAsia" w:eastAsiaTheme="minorEastAsia"/>
          <w:sz w:val="32"/>
          <w:szCs w:val="32"/>
          <w:lang w:val="en-US" w:eastAsia="zh-CN"/>
        </w:rPr>
        <w:t>98.59</w:t>
      </w:r>
      <w:r>
        <w:rPr>
          <w:rFonts w:hint="eastAsia" w:asciiTheme="minorEastAsia" w:hAnsiTheme="minorEastAsia" w:eastAsiaTheme="minorEastAsia"/>
          <w:sz w:val="32"/>
          <w:szCs w:val="32"/>
        </w:rPr>
        <w:t>%；住房保障支出（类）支出</w:t>
      </w:r>
      <w:r>
        <w:rPr>
          <w:rFonts w:hint="eastAsia" w:asciiTheme="minorEastAsia" w:hAnsiTheme="minorEastAsia" w:eastAsiaTheme="minorEastAsia"/>
          <w:sz w:val="32"/>
          <w:szCs w:val="32"/>
          <w:lang w:val="en-US" w:eastAsia="zh-CN"/>
        </w:rPr>
        <w:t>10.64</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1.41</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p>
    <w:p>
      <w:pPr>
        <w:pStyle w:val="9"/>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2021年度财政拨款支出年初预算数为</w:t>
      </w:r>
      <w:r>
        <w:rPr>
          <w:rFonts w:hint="eastAsia" w:asciiTheme="minorEastAsia" w:hAnsiTheme="minorEastAsia" w:eastAsiaTheme="minorEastAsia"/>
          <w:sz w:val="32"/>
          <w:szCs w:val="32"/>
          <w:lang w:val="en-US" w:eastAsia="zh-CN"/>
        </w:rPr>
        <w:t>511.969</w:t>
      </w:r>
      <w:r>
        <w:rPr>
          <w:rFonts w:hint="eastAsia" w:asciiTheme="minorEastAsia" w:hAnsiTheme="minorEastAsia" w:eastAsiaTheme="minorEastAsia"/>
          <w:sz w:val="32"/>
          <w:szCs w:val="32"/>
        </w:rPr>
        <w:t>万元，支出决算数为753.46万元，完成年初预算的</w:t>
      </w:r>
      <w:r>
        <w:rPr>
          <w:rFonts w:hint="eastAsia" w:asciiTheme="minorEastAsia" w:hAnsiTheme="minorEastAsia" w:eastAsiaTheme="minorEastAsia"/>
          <w:sz w:val="32"/>
          <w:szCs w:val="32"/>
          <w:lang w:val="en-US" w:eastAsia="zh-CN"/>
        </w:rPr>
        <w:t>147.17</w:t>
      </w:r>
      <w:r>
        <w:rPr>
          <w:rFonts w:hint="eastAsia" w:asciiTheme="minorEastAsia" w:hAnsiTheme="minorEastAsia" w:eastAsiaTheme="minorEastAsia"/>
          <w:sz w:val="32"/>
          <w:szCs w:val="32"/>
        </w:rPr>
        <w:t>%，其中：</w:t>
      </w:r>
    </w:p>
    <w:p>
      <w:pPr>
        <w:pStyle w:val="9"/>
        <w:numPr>
          <w:ilvl w:val="0"/>
          <w:numId w:val="2"/>
        </w:numPr>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社会保障和就业</w:t>
      </w:r>
      <w:r>
        <w:rPr>
          <w:rFonts w:hint="eastAsia" w:asciiTheme="minorEastAsia" w:hAnsiTheme="minorEastAsia" w:eastAsiaTheme="minorEastAsia"/>
          <w:sz w:val="32"/>
          <w:szCs w:val="32"/>
          <w:lang w:eastAsia="zh-CN"/>
        </w:rPr>
        <w:t>支出</w:t>
      </w:r>
      <w:r>
        <w:rPr>
          <w:rFonts w:hint="eastAsia" w:asciiTheme="minorEastAsia" w:hAnsiTheme="minorEastAsia" w:eastAsiaTheme="minorEastAsia"/>
          <w:sz w:val="32"/>
          <w:szCs w:val="32"/>
        </w:rPr>
        <w:t>（类）</w:t>
      </w:r>
    </w:p>
    <w:p>
      <w:pPr>
        <w:pStyle w:val="9"/>
        <w:numPr>
          <w:ilvl w:val="0"/>
          <w:numId w:val="3"/>
        </w:numPr>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民政管理事务（款）行政运行（项）一般行政管理事务</w:t>
      </w:r>
      <w:r>
        <w:rPr>
          <w:rFonts w:hint="eastAsia" w:asciiTheme="minorEastAsia" w:hAnsiTheme="minorEastAsia" w:eastAsiaTheme="minorEastAsia"/>
          <w:sz w:val="32"/>
          <w:szCs w:val="32"/>
          <w:lang w:eastAsia="zh-CN"/>
        </w:rPr>
        <w:t>（项）</w:t>
      </w:r>
    </w:p>
    <w:p>
      <w:pPr>
        <w:pStyle w:val="9"/>
        <w:numPr>
          <w:ilvl w:val="0"/>
          <w:numId w:val="3"/>
        </w:numPr>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eastAsia="zh-CN"/>
        </w:rPr>
        <w:t>社会福利（款）殡葬（项）</w:t>
      </w:r>
    </w:p>
    <w:p>
      <w:pPr>
        <w:pStyle w:val="9"/>
        <w:numPr>
          <w:ilvl w:val="0"/>
          <w:numId w:val="3"/>
        </w:numPr>
        <w:ind w:firstLine="640" w:firstLineChars="200"/>
        <w:rPr>
          <w:rFonts w:hint="default" w:asciiTheme="minorEastAsia" w:hAnsiTheme="minorEastAsia" w:eastAsiaTheme="minorEastAsia"/>
          <w:sz w:val="32"/>
          <w:szCs w:val="32"/>
          <w:lang w:val="en-US" w:eastAsia="zh-CN"/>
        </w:rPr>
      </w:pPr>
      <w:r>
        <w:rPr>
          <w:rFonts w:hint="default" w:asciiTheme="minorEastAsia" w:hAnsiTheme="minorEastAsia" w:eastAsiaTheme="minorEastAsia"/>
          <w:sz w:val="32"/>
          <w:szCs w:val="32"/>
          <w:lang w:val="en-US" w:eastAsia="zh-CN"/>
        </w:rPr>
        <w:t>特困人员救助供养</w:t>
      </w:r>
      <w:r>
        <w:rPr>
          <w:rFonts w:hint="eastAsia" w:asciiTheme="minorEastAsia" w:hAnsiTheme="minorEastAsia" w:eastAsiaTheme="minorEastAsia"/>
          <w:sz w:val="32"/>
          <w:szCs w:val="32"/>
          <w:lang w:val="en-US" w:eastAsia="zh-CN"/>
        </w:rPr>
        <w:t>（款)农村特困人员救助供养支出(项）</w:t>
      </w:r>
    </w:p>
    <w:p>
      <w:pPr>
        <w:pStyle w:val="9"/>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495.358</w:t>
      </w:r>
      <w:r>
        <w:rPr>
          <w:rFonts w:hint="eastAsia" w:asciiTheme="minorEastAsia" w:hAnsiTheme="minorEastAsia" w:eastAsiaTheme="minorEastAsia"/>
          <w:sz w:val="32"/>
          <w:szCs w:val="32"/>
        </w:rPr>
        <w:t>万元，支出决算为742.82万元，完成年初预算的</w:t>
      </w:r>
      <w:r>
        <w:rPr>
          <w:rFonts w:hint="eastAsia" w:asciiTheme="minorEastAsia" w:hAnsiTheme="minorEastAsia" w:eastAsiaTheme="minorEastAsia"/>
          <w:sz w:val="32"/>
          <w:szCs w:val="32"/>
          <w:lang w:val="en-US" w:eastAsia="zh-CN"/>
        </w:rPr>
        <w:t>149.96</w:t>
      </w:r>
      <w:r>
        <w:rPr>
          <w:rFonts w:hint="eastAsia" w:asciiTheme="minorEastAsia" w:hAnsiTheme="minorEastAsia" w:eastAsiaTheme="minorEastAsia"/>
          <w:sz w:val="32"/>
          <w:szCs w:val="32"/>
        </w:rPr>
        <w:t>%，决算数小于年初预算数的主要原因是：</w:t>
      </w:r>
      <w:r>
        <w:rPr>
          <w:rFonts w:hint="eastAsia" w:asciiTheme="minorEastAsia" w:hAnsiTheme="minorEastAsia" w:eastAsiaTheme="minorEastAsia"/>
          <w:sz w:val="32"/>
          <w:szCs w:val="32"/>
          <w:lang w:eastAsia="zh-CN"/>
        </w:rPr>
        <w:t>民政管理事务、社会福利款项的增多。</w:t>
      </w:r>
      <w:r>
        <w:rPr>
          <w:rFonts w:hint="eastAsia" w:asciiTheme="minorEastAsia" w:hAnsiTheme="minorEastAsia" w:eastAsiaTheme="minorEastAsia"/>
          <w:sz w:val="32"/>
          <w:szCs w:val="32"/>
          <w:lang w:val="en-US" w:eastAsia="zh-CN"/>
        </w:rPr>
        <w:t xml:space="preserve">                         </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住房保障支出（类）住房改革支出（款）住房公积金（项）。</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年初预算为16</w:t>
      </w:r>
      <w:r>
        <w:rPr>
          <w:rFonts w:hint="eastAsia" w:asciiTheme="minorEastAsia" w:hAnsiTheme="minorEastAsia" w:eastAsiaTheme="minorEastAsia"/>
          <w:sz w:val="32"/>
          <w:szCs w:val="32"/>
          <w:lang w:val="en-US" w:eastAsia="zh-CN"/>
        </w:rPr>
        <w:t>.</w:t>
      </w:r>
      <w:r>
        <w:rPr>
          <w:rFonts w:hint="eastAsia" w:asciiTheme="minorEastAsia" w:hAnsiTheme="minorEastAsia" w:eastAsiaTheme="minorEastAsia"/>
          <w:sz w:val="32"/>
          <w:szCs w:val="32"/>
        </w:rPr>
        <w:t>611万元，支出决算为10.64万元，完成年初预算的</w:t>
      </w:r>
      <w:r>
        <w:rPr>
          <w:rFonts w:hint="eastAsia" w:asciiTheme="minorEastAsia" w:hAnsiTheme="minorEastAsia" w:eastAsiaTheme="minorEastAsia"/>
          <w:sz w:val="32"/>
          <w:szCs w:val="32"/>
          <w:lang w:val="en-US" w:eastAsia="zh-CN"/>
        </w:rPr>
        <w:t>64.05</w:t>
      </w:r>
      <w:r>
        <w:rPr>
          <w:rFonts w:hint="eastAsia" w:asciiTheme="minorEastAsia" w:hAnsiTheme="minorEastAsia" w:eastAsiaTheme="minorEastAsia"/>
          <w:sz w:val="32"/>
          <w:szCs w:val="32"/>
        </w:rPr>
        <w:t>%，决算数小于年初预算数的主要原因是：</w:t>
      </w:r>
      <w:r>
        <w:rPr>
          <w:rFonts w:hint="eastAsia" w:asciiTheme="minorEastAsia" w:hAnsiTheme="minorEastAsia" w:eastAsiaTheme="minorEastAsia"/>
          <w:sz w:val="32"/>
          <w:szCs w:val="32"/>
          <w:lang w:eastAsia="zh-CN"/>
        </w:rPr>
        <w:t>退休人离任人员增多。</w:t>
      </w:r>
    </w:p>
    <w:p>
      <w:pPr>
        <w:pStyle w:val="9"/>
        <w:rPr>
          <w:rFonts w:hAnsi="黑体"/>
          <w:b/>
          <w:sz w:val="32"/>
          <w:szCs w:val="32"/>
        </w:rPr>
      </w:pPr>
      <w:r>
        <w:rPr>
          <w:rFonts w:hint="eastAsia" w:hAnsi="黑体"/>
          <w:b/>
          <w:sz w:val="32"/>
          <w:szCs w:val="32"/>
        </w:rPr>
        <w:t>六、一般公共预算财政拨款基本支出决算情况说明</w:t>
      </w:r>
    </w:p>
    <w:p>
      <w:pPr>
        <w:pStyle w:val="9"/>
        <w:ind w:firstLine="640" w:firstLineChars="200"/>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2021年度财政拨款基本支出</w:t>
      </w:r>
      <w:r>
        <w:rPr>
          <w:rFonts w:hint="eastAsia" w:asciiTheme="minorEastAsia" w:hAnsiTheme="minorEastAsia" w:eastAsiaTheme="minorEastAsia"/>
          <w:sz w:val="32"/>
          <w:szCs w:val="32"/>
          <w:lang w:val="en-US" w:eastAsia="zh-CN"/>
        </w:rPr>
        <w:t>349.11</w:t>
      </w:r>
      <w:r>
        <w:rPr>
          <w:rFonts w:hint="eastAsia" w:asciiTheme="minorEastAsia" w:hAnsiTheme="minorEastAsia" w:eastAsiaTheme="minorEastAsia"/>
          <w:sz w:val="32"/>
          <w:szCs w:val="32"/>
        </w:rPr>
        <w:t>万元，其中：人员经费314.09万元，占基本支出的</w:t>
      </w:r>
      <w:r>
        <w:rPr>
          <w:rFonts w:hint="eastAsia" w:asciiTheme="minorEastAsia" w:hAnsiTheme="minorEastAsia" w:eastAsiaTheme="minorEastAsia"/>
          <w:sz w:val="32"/>
          <w:szCs w:val="32"/>
          <w:lang w:val="en-US" w:eastAsia="zh-CN"/>
        </w:rPr>
        <w:t>89.97</w:t>
      </w:r>
      <w:r>
        <w:rPr>
          <w:rFonts w:hint="eastAsia" w:asciiTheme="minorEastAsia" w:hAnsiTheme="minorEastAsia" w:eastAsiaTheme="minorEastAsia"/>
          <w:sz w:val="32"/>
          <w:szCs w:val="32"/>
        </w:rPr>
        <w:t>%,主要包括基本工资、津贴补贴、奖金、伙食补助费；公用经费</w:t>
      </w:r>
      <w:r>
        <w:rPr>
          <w:rFonts w:hint="eastAsia" w:asciiTheme="minorEastAsia" w:hAnsiTheme="minorEastAsia" w:eastAsiaTheme="minorEastAsia"/>
          <w:sz w:val="32"/>
          <w:szCs w:val="32"/>
          <w:lang w:val="en-US" w:eastAsia="zh-CN"/>
        </w:rPr>
        <w:t>35.02</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11.03</w:t>
      </w:r>
      <w:r>
        <w:rPr>
          <w:rFonts w:hint="eastAsia" w:asciiTheme="minorEastAsia" w:hAnsiTheme="minorEastAsia" w:eastAsiaTheme="minorEastAsia"/>
          <w:sz w:val="32"/>
          <w:szCs w:val="32"/>
        </w:rPr>
        <w:t>%，主要包括办公费、印刷费、咨询费、手续费。</w:t>
      </w:r>
    </w:p>
    <w:p>
      <w:pPr>
        <w:pStyle w:val="9"/>
        <w:rPr>
          <w:rFonts w:hAnsi="黑体"/>
          <w:b/>
          <w:sz w:val="32"/>
          <w:szCs w:val="32"/>
        </w:rPr>
      </w:pPr>
      <w:r>
        <w:rPr>
          <w:rFonts w:hint="eastAsia" w:hAnsi="黑体"/>
          <w:b/>
          <w:sz w:val="32"/>
          <w:szCs w:val="32"/>
        </w:rPr>
        <w:t>七、一般公共预算财政拨款“三公”经费支出决算情况说明</w:t>
      </w:r>
    </w:p>
    <w:p>
      <w:pPr>
        <w:pStyle w:val="9"/>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2021年度“三公”经费财政拨款支出预算为</w:t>
      </w:r>
      <w:r>
        <w:rPr>
          <w:rFonts w:hint="eastAsia" w:asciiTheme="minorEastAsia" w:hAnsiTheme="minorEastAsia" w:eastAsiaTheme="minorEastAsia"/>
          <w:sz w:val="32"/>
          <w:szCs w:val="32"/>
          <w:lang w:val="en-US" w:eastAsia="zh-CN"/>
        </w:rPr>
        <w:t>30.00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26.22</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87.40</w:t>
      </w:r>
      <w:r>
        <w:rPr>
          <w:rFonts w:hint="eastAsia" w:asciiTheme="minorEastAsia" w:hAnsiTheme="minorEastAsia" w:eastAsiaTheme="minorEastAsia"/>
          <w:sz w:val="32"/>
          <w:szCs w:val="32"/>
        </w:rPr>
        <w:t>%，其中：</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与</w:t>
      </w:r>
      <w:r>
        <w:rPr>
          <w:rFonts w:hint="eastAsia" w:asciiTheme="minorEastAsia" w:hAnsiTheme="minorEastAsia" w:eastAsiaTheme="minorEastAsia"/>
          <w:sz w:val="32"/>
          <w:szCs w:val="32"/>
        </w:rPr>
        <w:t>预算数</w:t>
      </w:r>
      <w:r>
        <w:rPr>
          <w:rFonts w:hint="eastAsia" w:asciiTheme="minorEastAsia" w:hAnsiTheme="minorEastAsia" w:eastAsiaTheme="minorEastAsia"/>
          <w:sz w:val="32"/>
          <w:szCs w:val="32"/>
          <w:lang w:eastAsia="zh-CN"/>
        </w:rPr>
        <w:t>持平</w:t>
      </w:r>
      <w:r>
        <w:rPr>
          <w:rFonts w:hint="eastAsia" w:asciiTheme="minorEastAsia" w:hAnsiTheme="minorEastAsia" w:eastAsiaTheme="minorEastAsia"/>
          <w:sz w:val="32"/>
          <w:szCs w:val="32"/>
        </w:rPr>
        <w:t>，与上年相比</w:t>
      </w:r>
      <w:r>
        <w:rPr>
          <w:rFonts w:hint="eastAsia" w:asciiTheme="minorEastAsia" w:hAnsiTheme="minorEastAsia" w:eastAsiaTheme="minorEastAsia"/>
          <w:sz w:val="32"/>
          <w:szCs w:val="32"/>
          <w:lang w:eastAsia="zh-CN"/>
        </w:rPr>
        <w:t>持平</w:t>
      </w:r>
      <w:r>
        <w:rPr>
          <w:rFonts w:hint="eastAsia" w:asciiTheme="minorEastAsia" w:hAnsiTheme="minorEastAsia" w:eastAsiaTheme="minorEastAsia"/>
          <w:sz w:val="32"/>
          <w:szCs w:val="32"/>
        </w:rPr>
        <w:t>。</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与</w:t>
      </w:r>
      <w:r>
        <w:rPr>
          <w:rFonts w:hint="eastAsia" w:asciiTheme="minorEastAsia" w:hAnsiTheme="minorEastAsia" w:eastAsiaTheme="minorEastAsia"/>
          <w:sz w:val="32"/>
          <w:szCs w:val="32"/>
        </w:rPr>
        <w:t>预算数</w:t>
      </w:r>
      <w:r>
        <w:rPr>
          <w:rFonts w:hint="eastAsia" w:asciiTheme="minorEastAsia" w:hAnsiTheme="minorEastAsia" w:eastAsiaTheme="minorEastAsia"/>
          <w:sz w:val="32"/>
          <w:szCs w:val="32"/>
          <w:lang w:eastAsia="zh-CN"/>
        </w:rPr>
        <w:t>持平</w:t>
      </w:r>
      <w:r>
        <w:rPr>
          <w:rFonts w:hint="eastAsia" w:asciiTheme="minorEastAsia" w:hAnsiTheme="minorEastAsia" w:eastAsiaTheme="minorEastAsia"/>
          <w:sz w:val="32"/>
          <w:szCs w:val="32"/>
        </w:rPr>
        <w:t>，与上年相比</w:t>
      </w:r>
      <w:r>
        <w:rPr>
          <w:rFonts w:hint="eastAsia" w:asciiTheme="minorEastAsia" w:hAnsiTheme="minorEastAsia" w:eastAsiaTheme="minorEastAsia"/>
          <w:sz w:val="32"/>
          <w:szCs w:val="32"/>
          <w:lang w:eastAsia="zh-CN"/>
        </w:rPr>
        <w:t>减少</w:t>
      </w:r>
      <w:r>
        <w:rPr>
          <w:rFonts w:hint="eastAsia" w:asciiTheme="minorEastAsia" w:hAnsiTheme="minorEastAsia" w:eastAsiaTheme="minorEastAsia"/>
          <w:sz w:val="32"/>
          <w:szCs w:val="32"/>
          <w:lang w:val="en-US" w:eastAsia="zh-CN"/>
        </w:rPr>
        <w:t>0.22</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减少</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%,减少的主要原因是</w:t>
      </w:r>
      <w:r>
        <w:rPr>
          <w:rFonts w:hint="eastAsia" w:asciiTheme="minorEastAsia" w:hAnsiTheme="minorEastAsia" w:eastAsiaTheme="minorEastAsia"/>
          <w:sz w:val="32"/>
          <w:szCs w:val="32"/>
          <w:lang w:eastAsia="zh-CN"/>
        </w:rPr>
        <w:t>：无</w:t>
      </w:r>
      <w:r>
        <w:rPr>
          <w:rFonts w:hint="eastAsia" w:asciiTheme="minorEastAsia" w:hAnsiTheme="minorEastAsia" w:eastAsiaTheme="minorEastAsia"/>
          <w:sz w:val="32"/>
          <w:szCs w:val="32"/>
        </w:rPr>
        <w:t>。</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与</w:t>
      </w:r>
      <w:r>
        <w:rPr>
          <w:rFonts w:hint="eastAsia" w:asciiTheme="minorEastAsia" w:hAnsiTheme="minorEastAsia" w:eastAsiaTheme="minorEastAsia"/>
          <w:sz w:val="32"/>
          <w:szCs w:val="32"/>
        </w:rPr>
        <w:t>预算数</w:t>
      </w:r>
      <w:r>
        <w:rPr>
          <w:rFonts w:hint="eastAsia" w:asciiTheme="minorEastAsia" w:hAnsiTheme="minorEastAsia" w:eastAsiaTheme="minorEastAsia"/>
          <w:sz w:val="32"/>
          <w:szCs w:val="32"/>
          <w:lang w:eastAsia="zh-CN"/>
        </w:rPr>
        <w:t>持平</w:t>
      </w:r>
      <w:r>
        <w:rPr>
          <w:rFonts w:hint="eastAsia" w:asciiTheme="minorEastAsia" w:hAnsiTheme="minorEastAsia" w:eastAsiaTheme="minorEastAsia"/>
          <w:sz w:val="32"/>
          <w:szCs w:val="32"/>
        </w:rPr>
        <w:t>，与上年相比</w:t>
      </w:r>
      <w:r>
        <w:rPr>
          <w:rFonts w:hint="eastAsia" w:asciiTheme="minorEastAsia" w:hAnsiTheme="minorEastAsia" w:eastAsiaTheme="minorEastAsia"/>
          <w:sz w:val="32"/>
          <w:szCs w:val="32"/>
          <w:lang w:eastAsia="zh-CN"/>
        </w:rPr>
        <w:t>减少48.6</w:t>
      </w:r>
      <w:r>
        <w:rPr>
          <w:rFonts w:hint="eastAsia" w:asciiTheme="minorEastAsia" w:hAnsiTheme="minorEastAsia" w:eastAsiaTheme="minorEastAsia"/>
          <w:sz w:val="32"/>
          <w:szCs w:val="32"/>
          <w:lang w:val="en-US" w:eastAsia="zh-CN"/>
        </w:rPr>
        <w:t>6万元，减少100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，减少的主要原因是：无</w:t>
      </w:r>
      <w:r>
        <w:rPr>
          <w:rFonts w:hint="eastAsia" w:asciiTheme="minorEastAsia" w:hAnsiTheme="minorEastAsia" w:eastAsiaTheme="minorEastAsia"/>
          <w:sz w:val="32"/>
          <w:szCs w:val="32"/>
        </w:rPr>
        <w:t>。</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公务用车运行维护费支出预算为</w:t>
      </w:r>
      <w:r>
        <w:rPr>
          <w:rFonts w:hint="eastAsia" w:asciiTheme="minorEastAsia" w:hAnsiTheme="minorEastAsia" w:eastAsiaTheme="minorEastAsia"/>
          <w:sz w:val="32"/>
          <w:szCs w:val="32"/>
          <w:lang w:val="en-US" w:eastAsia="zh-CN"/>
        </w:rPr>
        <w:t>30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26.22</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87.4</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小于年初</w:t>
      </w:r>
      <w:r>
        <w:rPr>
          <w:rFonts w:hint="eastAsia" w:asciiTheme="minorEastAsia" w:hAnsiTheme="minorEastAsia" w:eastAsiaTheme="minorEastAsia"/>
          <w:sz w:val="32"/>
          <w:szCs w:val="32"/>
        </w:rPr>
        <w:t>预算数，与上年相比</w:t>
      </w:r>
      <w:r>
        <w:rPr>
          <w:rFonts w:hint="eastAsia" w:asciiTheme="minorEastAsia" w:hAnsiTheme="minorEastAsia" w:eastAsiaTheme="minorEastAsia"/>
          <w:sz w:val="32"/>
          <w:szCs w:val="32"/>
          <w:lang w:eastAsia="zh-CN"/>
        </w:rPr>
        <w:t>增加</w:t>
      </w:r>
      <w:r>
        <w:rPr>
          <w:rFonts w:hint="eastAsia" w:asciiTheme="minorEastAsia" w:hAnsiTheme="minorEastAsia" w:eastAsiaTheme="minorEastAsia"/>
          <w:sz w:val="32"/>
          <w:szCs w:val="32"/>
          <w:lang w:val="en-US" w:eastAsia="zh-CN"/>
        </w:rPr>
        <w:t>23.66万元，增加,924.22</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增加的原因主要还是殡葬特种用车增加、接运用车量增加</w:t>
      </w:r>
      <w:r>
        <w:rPr>
          <w:rFonts w:hint="eastAsia" w:asciiTheme="minorEastAsia" w:hAnsiTheme="minorEastAsia" w:eastAsiaTheme="minorEastAsia"/>
          <w:sz w:val="32"/>
          <w:szCs w:val="32"/>
        </w:rPr>
        <w:t>。</w:t>
      </w:r>
    </w:p>
    <w:p>
      <w:pPr>
        <w:pStyle w:val="9"/>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2021年度“三公”经费财政拨款支出决算中，公务接待费支出决算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人次,开支内容包括：</w:t>
      </w:r>
      <w:r>
        <w:rPr>
          <w:rFonts w:hint="eastAsia" w:asciiTheme="minorEastAsia" w:hAnsiTheme="minorEastAsia" w:eastAsiaTheme="minorEastAsia"/>
          <w:sz w:val="32"/>
          <w:szCs w:val="32"/>
          <w:lang w:eastAsia="zh-CN"/>
        </w:rPr>
        <w:t>无，</w:t>
      </w:r>
      <w:r>
        <w:rPr>
          <w:rFonts w:hint="eastAsia" w:asciiTheme="minorEastAsia" w:hAnsiTheme="minorEastAsia" w:eastAsiaTheme="minorEastAsia"/>
          <w:sz w:val="32"/>
          <w:szCs w:val="32"/>
        </w:rPr>
        <w:t>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万元，主要用于</w:t>
      </w:r>
      <w:r>
        <w:rPr>
          <w:rFonts w:hint="eastAsia" w:asciiTheme="minorEastAsia" w:hAnsiTheme="minorEastAsia" w:eastAsiaTheme="minorEastAsia"/>
          <w:sz w:val="32"/>
          <w:szCs w:val="32"/>
          <w:lang w:eastAsia="zh-CN"/>
        </w:rPr>
        <w:t>无</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人次，主要是</w:t>
      </w:r>
      <w:r>
        <w:rPr>
          <w:rFonts w:hint="eastAsia" w:asciiTheme="minorEastAsia" w:hAnsiTheme="minorEastAsia" w:eastAsiaTheme="minorEastAsia"/>
          <w:sz w:val="32"/>
          <w:szCs w:val="32"/>
          <w:lang w:eastAsia="zh-CN"/>
        </w:rPr>
        <w:t>无</w:t>
      </w:r>
      <w:r>
        <w:rPr>
          <w:rFonts w:hint="eastAsia" w:asciiTheme="minorEastAsia" w:hAnsiTheme="minorEastAsia" w:eastAsiaTheme="minorEastAsia"/>
          <w:sz w:val="32"/>
          <w:szCs w:val="32"/>
        </w:rPr>
        <w:t>发生的接待支出。</w:t>
      </w:r>
    </w:p>
    <w:p>
      <w:pPr>
        <w:ind w:firstLine="800" w:firstLineChars="25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0</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万元，更新公务用车</w:t>
      </w:r>
      <w:r>
        <w:rPr>
          <w:rFonts w:hint="eastAsia" w:asciiTheme="minorEastAsia" w:hAnsiTheme="minorEastAsia"/>
          <w:sz w:val="32"/>
          <w:szCs w:val="32"/>
          <w:lang w:val="en-US" w:eastAsia="zh-CN"/>
        </w:rPr>
        <w:t>0</w:t>
      </w:r>
      <w:r>
        <w:rPr>
          <w:rFonts w:hint="eastAsia" w:asciiTheme="minorEastAsia" w:hAnsiTheme="minorEastAsia"/>
          <w:sz w:val="32"/>
          <w:szCs w:val="32"/>
        </w:rPr>
        <w:t>辆</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26.22</w:t>
      </w:r>
      <w:r>
        <w:rPr>
          <w:rFonts w:hint="eastAsia" w:asciiTheme="minorEastAsia" w:hAnsiTheme="minorEastAsia"/>
          <w:sz w:val="32"/>
          <w:szCs w:val="32"/>
        </w:rPr>
        <w:t>万元，主要是</w:t>
      </w:r>
      <w:r>
        <w:rPr>
          <w:rFonts w:hint="eastAsia" w:asciiTheme="minorEastAsia" w:hAnsiTheme="minorEastAsia"/>
          <w:sz w:val="32"/>
          <w:szCs w:val="32"/>
          <w:lang w:eastAsia="zh-CN"/>
        </w:rPr>
        <w:t>车辆增多，接运次数增多</w:t>
      </w:r>
      <w:r>
        <w:rPr>
          <w:rFonts w:hint="eastAsia" w:asciiTheme="minorEastAsia" w:hAnsiTheme="minorEastAsia"/>
          <w:sz w:val="32"/>
          <w:szCs w:val="32"/>
        </w:rPr>
        <w:t>，截止2021年12月31日，我单位开支财政拨款的公务用车保有量为</w:t>
      </w:r>
      <w:r>
        <w:rPr>
          <w:rFonts w:hint="eastAsia" w:asciiTheme="minorEastAsia" w:hAnsiTheme="minorEastAsia"/>
          <w:sz w:val="32"/>
          <w:szCs w:val="32"/>
          <w:lang w:val="en-US" w:eastAsia="zh-CN"/>
        </w:rPr>
        <w:t>0</w:t>
      </w:r>
      <w:r>
        <w:rPr>
          <w:rFonts w:hint="eastAsia" w:asciiTheme="minorEastAsia" w:hAnsiTheme="minorEastAsia"/>
          <w:sz w:val="32"/>
          <w:szCs w:val="32"/>
        </w:rPr>
        <w:t>辆。</w:t>
      </w:r>
    </w:p>
    <w:p>
      <w:pPr>
        <w:pStyle w:val="9"/>
        <w:rPr>
          <w:rFonts w:hAnsi="黑体"/>
          <w:b/>
          <w:sz w:val="32"/>
          <w:szCs w:val="32"/>
        </w:rPr>
      </w:pPr>
      <w:r>
        <w:rPr>
          <w:rFonts w:hint="eastAsia" w:hAnsi="黑体"/>
          <w:b/>
          <w:sz w:val="32"/>
          <w:szCs w:val="32"/>
        </w:rPr>
        <w:t>八、政府性基金预算收入支出决算情况</w:t>
      </w:r>
    </w:p>
    <w:p>
      <w:pPr>
        <w:pStyle w:val="9"/>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 xml:space="preserve">     2021年度政府性基金预算财政拨款收入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万元；年初结转和结余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万元，项目支出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万元；年末结转和结余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p>
    <w:p>
      <w:pPr>
        <w:pStyle w:val="9"/>
        <w:rPr>
          <w:rFonts w:hAnsi="黑体"/>
          <w:b/>
          <w:sz w:val="32"/>
          <w:szCs w:val="32"/>
        </w:rPr>
      </w:pPr>
      <w:r>
        <w:rPr>
          <w:rFonts w:hint="eastAsia" w:hAnsi="黑体"/>
          <w:b/>
          <w:sz w:val="32"/>
          <w:szCs w:val="32"/>
        </w:rPr>
        <w:t>九、机关运行经费支出说明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本部门2021年度机关运行经费支出</w:t>
      </w:r>
      <w:r>
        <w:rPr>
          <w:rFonts w:hint="eastAsia" w:asciiTheme="minorEastAsia" w:hAnsiTheme="minorEastAsia" w:eastAsiaTheme="minorEastAsia"/>
          <w:sz w:val="32"/>
          <w:szCs w:val="32"/>
          <w:lang w:val="en-US" w:eastAsia="zh-CN"/>
        </w:rPr>
        <w:t>35.02</w:t>
      </w:r>
      <w:r>
        <w:rPr>
          <w:rFonts w:hint="eastAsia" w:asciiTheme="minorEastAsia" w:hAnsiTheme="minorEastAsia" w:eastAsiaTheme="minorEastAsia"/>
          <w:sz w:val="32"/>
          <w:szCs w:val="32"/>
        </w:rPr>
        <w:t>万元，上年决算数增加</w:t>
      </w:r>
      <w:r>
        <w:rPr>
          <w:rFonts w:hint="eastAsia" w:asciiTheme="minorEastAsia" w:hAnsiTheme="minorEastAsia" w:eastAsiaTheme="minorEastAsia"/>
          <w:sz w:val="32"/>
          <w:szCs w:val="32"/>
          <w:lang w:val="en-US" w:eastAsia="zh-CN"/>
        </w:rPr>
        <w:t>20.22</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136.62</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eastAsia="zh-CN"/>
        </w:rPr>
        <w:t>材料费用的增多、维修费用的增多</w:t>
      </w:r>
      <w:r>
        <w:rPr>
          <w:rFonts w:hint="eastAsia" w:asciiTheme="minorEastAsia" w:hAnsiTheme="minorEastAsia" w:eastAsiaTheme="minorEastAsia"/>
          <w:sz w:val="32"/>
          <w:szCs w:val="32"/>
        </w:rPr>
        <w:t>。</w:t>
      </w:r>
    </w:p>
    <w:p>
      <w:pPr>
        <w:pStyle w:val="9"/>
        <w:rPr>
          <w:rFonts w:hint="eastAsia" w:hAnsi="黑体" w:eastAsia="黑体"/>
          <w:b/>
          <w:sz w:val="32"/>
          <w:szCs w:val="32"/>
          <w:lang w:val="en-US" w:eastAsia="zh-CN"/>
        </w:rPr>
      </w:pPr>
      <w:r>
        <w:rPr>
          <w:rFonts w:hint="eastAsia" w:hAnsi="黑体"/>
          <w:b/>
          <w:sz w:val="32"/>
          <w:szCs w:val="32"/>
        </w:rPr>
        <w:t>十、一般性支出情况说明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2021年本部门开支会议费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万元，用于召开</w:t>
      </w:r>
      <w:r>
        <w:rPr>
          <w:rFonts w:hint="eastAsia" w:asciiTheme="minorEastAsia" w:hAnsiTheme="minorEastAsia" w:eastAsiaTheme="minorEastAsia"/>
          <w:sz w:val="32"/>
          <w:szCs w:val="32"/>
          <w:lang w:eastAsia="zh-CN"/>
        </w:rPr>
        <w:t>无</w:t>
      </w:r>
      <w:r>
        <w:rPr>
          <w:rFonts w:hint="eastAsia" w:asciiTheme="minorEastAsia" w:hAnsiTheme="minorEastAsia" w:eastAsiaTheme="minorEastAsia"/>
          <w:sz w:val="32"/>
          <w:szCs w:val="32"/>
        </w:rPr>
        <w:t>会议，人数</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人，内容为</w:t>
      </w:r>
      <w:r>
        <w:rPr>
          <w:rFonts w:hint="eastAsia" w:asciiTheme="minorEastAsia" w:hAnsiTheme="minorEastAsia" w:eastAsiaTheme="minorEastAsia"/>
          <w:sz w:val="32"/>
          <w:szCs w:val="32"/>
          <w:lang w:eastAsia="zh-CN"/>
        </w:rPr>
        <w:t>无</w:t>
      </w:r>
      <w:r>
        <w:rPr>
          <w:rFonts w:hint="eastAsia" w:asciiTheme="minorEastAsia" w:hAnsiTheme="minorEastAsia" w:eastAsiaTheme="minorEastAsia"/>
          <w:sz w:val="32"/>
          <w:szCs w:val="32"/>
        </w:rPr>
        <w:t>；开支培训费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万元，用于开展</w:t>
      </w:r>
      <w:r>
        <w:rPr>
          <w:rFonts w:hint="eastAsia" w:asciiTheme="minorEastAsia" w:hAnsiTheme="minorEastAsia" w:eastAsiaTheme="minorEastAsia"/>
          <w:sz w:val="32"/>
          <w:szCs w:val="32"/>
          <w:lang w:eastAsia="zh-CN"/>
        </w:rPr>
        <w:t>无</w:t>
      </w:r>
      <w:r>
        <w:rPr>
          <w:rFonts w:hint="eastAsia" w:asciiTheme="minorEastAsia" w:hAnsiTheme="minorEastAsia" w:eastAsiaTheme="minorEastAsia"/>
          <w:sz w:val="32"/>
          <w:szCs w:val="32"/>
        </w:rPr>
        <w:t>培训，人数</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人，内容为</w:t>
      </w:r>
      <w:r>
        <w:rPr>
          <w:rFonts w:hint="eastAsia" w:asciiTheme="minorEastAsia" w:hAnsiTheme="minorEastAsia" w:eastAsiaTheme="minorEastAsia"/>
          <w:sz w:val="32"/>
          <w:szCs w:val="32"/>
          <w:lang w:eastAsia="zh-CN"/>
        </w:rPr>
        <w:t>无</w:t>
      </w:r>
      <w:r>
        <w:rPr>
          <w:rFonts w:hint="eastAsia" w:asciiTheme="minorEastAsia" w:hAnsiTheme="minorEastAsia" w:eastAsiaTheme="minorEastAsia"/>
          <w:sz w:val="32"/>
          <w:szCs w:val="32"/>
        </w:rPr>
        <w:t>；举办</w:t>
      </w:r>
      <w:r>
        <w:rPr>
          <w:rFonts w:hint="eastAsia" w:asciiTheme="minorEastAsia" w:hAnsiTheme="minorEastAsia" w:eastAsiaTheme="minorEastAsia"/>
          <w:sz w:val="32"/>
          <w:szCs w:val="32"/>
          <w:lang w:eastAsia="zh-CN"/>
        </w:rPr>
        <w:t>无</w:t>
      </w:r>
      <w:r>
        <w:rPr>
          <w:rFonts w:hint="eastAsia" w:asciiTheme="minorEastAsia" w:hAnsiTheme="minorEastAsia" w:eastAsiaTheme="minorEastAsia"/>
          <w:sz w:val="32"/>
          <w:szCs w:val="32"/>
        </w:rPr>
        <w:t>等节庆、晚会、论坛、赛事活动，开支</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万元，主要是</w:t>
      </w:r>
      <w:r>
        <w:rPr>
          <w:rFonts w:hint="eastAsia" w:asciiTheme="minorEastAsia" w:hAnsiTheme="minorEastAsia" w:eastAsiaTheme="minorEastAsia"/>
          <w:sz w:val="32"/>
          <w:szCs w:val="32"/>
          <w:lang w:eastAsia="zh-CN"/>
        </w:rPr>
        <w:t>无</w:t>
      </w:r>
      <w:r>
        <w:rPr>
          <w:rFonts w:hint="eastAsia" w:asciiTheme="minorEastAsia" w:hAnsiTheme="minorEastAsia" w:eastAsiaTheme="minorEastAsia"/>
          <w:sz w:val="32"/>
          <w:szCs w:val="32"/>
        </w:rPr>
        <w:t>。</w:t>
      </w:r>
    </w:p>
    <w:p>
      <w:pPr>
        <w:pStyle w:val="9"/>
        <w:rPr>
          <w:rFonts w:hAnsi="黑体"/>
          <w:b/>
          <w:sz w:val="32"/>
          <w:szCs w:val="32"/>
        </w:rPr>
      </w:pPr>
      <w:r>
        <w:rPr>
          <w:rFonts w:hint="eastAsia" w:hAnsi="黑体"/>
          <w:b/>
          <w:sz w:val="32"/>
          <w:szCs w:val="32"/>
        </w:rPr>
        <w:t>十一、政府采购支出说明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本部门2021年度政府采购支出总额</w:t>
      </w:r>
      <w:r>
        <w:rPr>
          <w:rFonts w:hint="eastAsia" w:asciiTheme="minorEastAsia" w:hAnsiTheme="minorEastAsia" w:eastAsiaTheme="minorEastAsia"/>
          <w:sz w:val="32"/>
          <w:szCs w:val="32"/>
          <w:lang w:val="en-US" w:eastAsia="zh-CN"/>
        </w:rPr>
        <w:t>195</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万元、政府采购工程支出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万元、政府采购服务支出</w:t>
      </w:r>
      <w:r>
        <w:rPr>
          <w:rFonts w:hint="eastAsia" w:asciiTheme="minorEastAsia" w:hAnsiTheme="minorEastAsia" w:eastAsiaTheme="minorEastAsia"/>
          <w:sz w:val="32"/>
          <w:szCs w:val="32"/>
          <w:lang w:val="en-US" w:eastAsia="zh-CN"/>
        </w:rPr>
        <w:t>195</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万元，占授予中小企业合同金额的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%；货物采购授予中小企业合同金额占货物支出金额的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%，工程采购授予中小企业合同金额占工程支出金额的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%，服务采购授予中小企业合同金额占服务支出金额的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9"/>
        <w:rPr>
          <w:rFonts w:hAnsi="黑体"/>
          <w:b/>
          <w:sz w:val="32"/>
          <w:szCs w:val="32"/>
        </w:rPr>
      </w:pPr>
      <w:r>
        <w:rPr>
          <w:rFonts w:hint="eastAsia" w:hAnsi="黑体"/>
          <w:b/>
          <w:sz w:val="32"/>
          <w:szCs w:val="32"/>
        </w:rPr>
        <w:t>十二、国有资产占用情况说明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截至2021年12月31日，</w:t>
      </w:r>
      <w:r>
        <w:rPr>
          <w:rFonts w:hint="eastAsia" w:asciiTheme="minorEastAsia" w:hAnsiTheme="minorEastAsia" w:eastAsiaTheme="minorEastAsia"/>
          <w:sz w:val="32"/>
          <w:szCs w:val="32"/>
          <w:lang w:eastAsia="zh-CN"/>
        </w:rPr>
        <w:t>沅江市殡仪馆</w:t>
      </w:r>
      <w:r>
        <w:rPr>
          <w:rFonts w:hint="eastAsia" w:asciiTheme="minorEastAsia" w:hAnsiTheme="minorEastAsia" w:eastAsiaTheme="minorEastAsia"/>
          <w:sz w:val="32"/>
          <w:szCs w:val="32"/>
        </w:rPr>
        <w:t>共有车辆</w:t>
      </w:r>
      <w:r>
        <w:rPr>
          <w:rFonts w:hint="eastAsia" w:asciiTheme="minorEastAsia" w:hAnsiTheme="minorEastAsia" w:eastAsiaTheme="minorEastAsia"/>
          <w:sz w:val="32"/>
          <w:szCs w:val="32"/>
          <w:lang w:val="en-US" w:eastAsia="zh-CN"/>
        </w:rPr>
        <w:t>8</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8</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辆，其他用车主要是</w:t>
      </w:r>
      <w:r>
        <w:rPr>
          <w:rFonts w:hint="eastAsia" w:asciiTheme="minorEastAsia" w:hAnsiTheme="minorEastAsia" w:eastAsiaTheme="minorEastAsia"/>
          <w:sz w:val="32"/>
          <w:szCs w:val="32"/>
          <w:lang w:eastAsia="zh-CN"/>
        </w:rPr>
        <w:t>无</w:t>
      </w:r>
      <w:r>
        <w:rPr>
          <w:rFonts w:hint="eastAsia" w:asciiTheme="minorEastAsia" w:hAnsiTheme="minorEastAsia" w:eastAsiaTheme="minorEastAsia"/>
          <w:sz w:val="32"/>
          <w:szCs w:val="32"/>
        </w:rPr>
        <w:t>；单位价值50万元以上通用设备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pPr>
        <w:pStyle w:val="9"/>
        <w:rPr>
          <w:rFonts w:hAnsi="黑体"/>
          <w:b/>
          <w:sz w:val="32"/>
          <w:szCs w:val="32"/>
        </w:rPr>
      </w:pPr>
      <w:r>
        <w:rPr>
          <w:rFonts w:hint="eastAsia" w:hAnsi="黑体"/>
          <w:b/>
          <w:sz w:val="32"/>
          <w:szCs w:val="32"/>
        </w:rPr>
        <w:t>十三、2021年度预算绩效情况说明</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（1）绩效管理评价工作开展情况</w:t>
      </w:r>
      <w:r>
        <w:rPr>
          <w:rFonts w:hint="eastAsia" w:cs="黑体" w:asciiTheme="minorEastAsia" w:hAnsiTheme="minorEastAsia"/>
          <w:color w:val="000000"/>
          <w:kern w:val="0"/>
          <w:sz w:val="32"/>
          <w:szCs w:val="32"/>
        </w:rPr>
        <w:t>。</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根据预算绩效管理要求，我部门组织对</w:t>
      </w:r>
      <w:r>
        <w:rPr>
          <w:rFonts w:cs="黑体" w:asciiTheme="minorEastAsia" w:hAnsiTheme="minorEastAsia"/>
          <w:color w:val="000000"/>
          <w:kern w:val="0"/>
          <w:sz w:val="32"/>
          <w:szCs w:val="32"/>
        </w:rPr>
        <w:t xml:space="preserve">2021 </w:t>
      </w:r>
      <w:r>
        <w:rPr>
          <w:rFonts w:hint="eastAsia" w:cs="黑体" w:asciiTheme="minorEastAsia" w:hAnsiTheme="minorEastAsia"/>
          <w:color w:val="000000"/>
          <w:kern w:val="0"/>
          <w:sz w:val="32"/>
          <w:szCs w:val="32"/>
        </w:rPr>
        <w:t>年度一般公共预算项目支出全面开展绩效自评，其中，一级项目</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个，二级项目</w:t>
      </w:r>
      <w:r>
        <w:rPr>
          <w:rFonts w:hint="eastAsia" w:cs="黑体" w:asciiTheme="minorEastAsia" w:hAnsiTheme="minorEastAsia"/>
          <w:color w:val="000000"/>
          <w:kern w:val="0"/>
          <w:sz w:val="32"/>
          <w:szCs w:val="32"/>
          <w:lang w:val="en-US" w:eastAsia="zh-CN"/>
        </w:rPr>
        <w:t>1</w:t>
      </w:r>
      <w:r>
        <w:rPr>
          <w:rFonts w:hint="eastAsia" w:cs="黑体" w:asciiTheme="minorEastAsia" w:hAnsiTheme="minorEastAsia"/>
          <w:color w:val="000000"/>
          <w:kern w:val="0"/>
          <w:sz w:val="32"/>
          <w:szCs w:val="32"/>
        </w:rPr>
        <w:t>个，共涉及资金</w:t>
      </w:r>
      <w:r>
        <w:rPr>
          <w:rFonts w:hint="eastAsia" w:cs="黑体" w:asciiTheme="minorEastAsia" w:hAnsiTheme="minorEastAsia"/>
          <w:color w:val="000000"/>
          <w:kern w:val="0"/>
          <w:sz w:val="32"/>
          <w:szCs w:val="32"/>
          <w:lang w:val="en-US" w:eastAsia="zh-CN"/>
        </w:rPr>
        <w:t>404.35</w:t>
      </w:r>
      <w:r>
        <w:rPr>
          <w:rFonts w:cs="黑体" w:asciiTheme="minorEastAsia" w:hAnsiTheme="minorEastAsia"/>
          <w:color w:val="000000"/>
          <w:kern w:val="0"/>
          <w:sz w:val="32"/>
          <w:szCs w:val="32"/>
        </w:rPr>
        <w:t xml:space="preserve"> </w:t>
      </w:r>
      <w:r>
        <w:rPr>
          <w:rFonts w:hint="eastAsia" w:cs="黑体" w:asciiTheme="minorEastAsia" w:hAnsiTheme="minorEastAsia"/>
          <w:color w:val="000000"/>
          <w:kern w:val="0"/>
          <w:sz w:val="32"/>
          <w:szCs w:val="32"/>
        </w:rPr>
        <w:t>万元，占一般公共预算项目支出总额的</w:t>
      </w:r>
      <w:r>
        <w:rPr>
          <w:rFonts w:hint="eastAsia" w:cs="黑体" w:asciiTheme="minorEastAsia" w:hAnsiTheme="minorEastAsia"/>
          <w:color w:val="000000"/>
          <w:kern w:val="0"/>
          <w:sz w:val="32"/>
          <w:szCs w:val="32"/>
          <w:lang w:val="en-US" w:eastAsia="zh-CN"/>
        </w:rPr>
        <w:t>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。组织对</w:t>
      </w:r>
      <w:r>
        <w:rPr>
          <w:rFonts w:cs="黑体" w:asciiTheme="minorEastAsia" w:hAnsiTheme="minorEastAsia"/>
          <w:color w:val="000000"/>
          <w:kern w:val="0"/>
          <w:sz w:val="32"/>
          <w:szCs w:val="32"/>
        </w:rPr>
        <w:t>2021</w:t>
      </w:r>
      <w:r>
        <w:rPr>
          <w:rFonts w:hint="eastAsia" w:cs="黑体" w:asciiTheme="minorEastAsia" w:hAnsiTheme="minorEastAsia"/>
          <w:color w:val="000000"/>
          <w:kern w:val="0"/>
          <w:sz w:val="32"/>
          <w:szCs w:val="32"/>
        </w:rPr>
        <w:t>年度</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个政府性基金预算项目支出开展绩效自评，共涉及资金</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万元，占政府性基金预算项目支出总额的</w:t>
      </w:r>
      <w:r>
        <w:rPr>
          <w:rFonts w:hint="eastAsia" w:cs="黑体" w:asciiTheme="minorEastAsia" w:hAnsiTheme="minorEastAsia"/>
          <w:color w:val="000000"/>
          <w:kern w:val="0"/>
          <w:sz w:val="32"/>
          <w:szCs w:val="32"/>
          <w:lang w:val="en-US" w:eastAsia="zh-CN"/>
        </w:rPr>
        <w:t>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。组织对</w:t>
      </w:r>
      <w:r>
        <w:rPr>
          <w:rFonts w:cs="黑体" w:asciiTheme="minorEastAsia" w:hAnsiTheme="minorEastAsia"/>
          <w:color w:val="000000"/>
          <w:kern w:val="0"/>
          <w:sz w:val="32"/>
          <w:szCs w:val="32"/>
        </w:rPr>
        <w:t xml:space="preserve">2021 </w:t>
      </w:r>
      <w:r>
        <w:rPr>
          <w:rFonts w:hint="eastAsia" w:cs="黑体" w:asciiTheme="minorEastAsia" w:hAnsiTheme="minorEastAsia"/>
          <w:color w:val="000000"/>
          <w:kern w:val="0"/>
          <w:sz w:val="32"/>
          <w:szCs w:val="32"/>
        </w:rPr>
        <w:t>年度</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个国有资本经营预算项目支出开展绩效自评，共涉及资金</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万元，占国有资本经营预算项目支出总额的</w:t>
      </w:r>
      <w:r>
        <w:rPr>
          <w:rFonts w:hint="eastAsia" w:cs="黑体" w:asciiTheme="minorEastAsia" w:hAnsiTheme="minorEastAsia"/>
          <w:color w:val="000000"/>
          <w:kern w:val="0"/>
          <w:sz w:val="32"/>
          <w:szCs w:val="32"/>
          <w:lang w:val="en-US" w:eastAsia="zh-CN"/>
        </w:rPr>
        <w:t>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组织对</w:t>
      </w:r>
      <w:r>
        <w:rPr>
          <w:rFonts w:hint="eastAsia" w:cs="黑体" w:asciiTheme="minorEastAsia" w:hAnsiTheme="minorEastAsia"/>
          <w:color w:val="000000"/>
          <w:kern w:val="0"/>
          <w:sz w:val="32"/>
          <w:szCs w:val="32"/>
          <w:lang w:eastAsia="zh-CN"/>
        </w:rPr>
        <w:t>福利院成本费用</w:t>
      </w:r>
      <w:r>
        <w:rPr>
          <w:rFonts w:hint="eastAsia" w:cs="黑体" w:asciiTheme="minorEastAsia" w:hAnsiTheme="minorEastAsia"/>
          <w:color w:val="000000"/>
          <w:kern w:val="0"/>
          <w:sz w:val="32"/>
          <w:szCs w:val="32"/>
        </w:rPr>
        <w:t>等</w:t>
      </w:r>
      <w:r>
        <w:rPr>
          <w:rFonts w:hint="eastAsia" w:cs="黑体" w:asciiTheme="minorEastAsia" w:hAnsiTheme="minorEastAsia"/>
          <w:color w:val="000000"/>
          <w:kern w:val="0"/>
          <w:sz w:val="32"/>
          <w:szCs w:val="32"/>
          <w:lang w:val="en-US" w:eastAsia="zh-CN"/>
        </w:rPr>
        <w:t>1</w:t>
      </w:r>
      <w:r>
        <w:rPr>
          <w:rFonts w:hint="eastAsia" w:cs="黑体" w:asciiTheme="minorEastAsia" w:hAnsiTheme="minorEastAsia"/>
          <w:color w:val="000000"/>
          <w:kern w:val="0"/>
          <w:sz w:val="32"/>
          <w:szCs w:val="32"/>
        </w:rPr>
        <w:t>个项目开展了部门评价，涉及一般公共预算支出</w:t>
      </w:r>
      <w:r>
        <w:rPr>
          <w:rFonts w:hint="eastAsia" w:cs="黑体" w:asciiTheme="minorEastAsia" w:hAnsiTheme="minorEastAsia"/>
          <w:color w:val="000000"/>
          <w:kern w:val="0"/>
          <w:sz w:val="32"/>
          <w:szCs w:val="32"/>
          <w:lang w:val="en-US" w:eastAsia="zh-CN"/>
        </w:rPr>
        <w:t>404.35</w:t>
      </w:r>
      <w:r>
        <w:rPr>
          <w:rFonts w:hint="eastAsia" w:cs="黑体" w:asciiTheme="minorEastAsia" w:hAnsiTheme="minorEastAsia"/>
          <w:color w:val="000000"/>
          <w:kern w:val="0"/>
          <w:sz w:val="32"/>
          <w:szCs w:val="32"/>
        </w:rPr>
        <w:t>万元，政府性基金预算支出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万元，国有资本经营预算支出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w:t>
      </w:r>
    </w:p>
    <w:p>
      <w:pPr>
        <w:autoSpaceDE w:val="0"/>
        <w:autoSpaceDN w:val="0"/>
        <w:adjustRightInd w:val="0"/>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组织对</w:t>
      </w:r>
      <w:r>
        <w:rPr>
          <w:rFonts w:hint="eastAsia" w:cs="黑体" w:asciiTheme="minorEastAsia" w:hAnsiTheme="minorEastAsia"/>
          <w:color w:val="000000"/>
          <w:kern w:val="0"/>
          <w:sz w:val="32"/>
          <w:szCs w:val="32"/>
          <w:lang w:eastAsia="zh-CN"/>
        </w:rPr>
        <w:t>无</w:t>
      </w:r>
      <w:r>
        <w:rPr>
          <w:rFonts w:hint="eastAsia" w:cs="黑体" w:asciiTheme="minorEastAsia" w:hAnsiTheme="minorEastAsia"/>
          <w:color w:val="000000"/>
          <w:kern w:val="0"/>
          <w:sz w:val="32"/>
          <w:szCs w:val="32"/>
        </w:rPr>
        <w:t>单位开展整体支出绩效评价，涉及一般公共预算支出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万元，政府性基金预算支出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w:t>
      </w:r>
    </w:p>
    <w:p>
      <w:pPr>
        <w:autoSpaceDE w:val="0"/>
        <w:autoSpaceDN w:val="0"/>
        <w:adjustRightInd w:val="0"/>
        <w:ind w:firstLine="640" w:firstLineChars="200"/>
        <w:jc w:val="left"/>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（2）部门决算中项目绩效自评结果。</w:t>
      </w:r>
    </w:p>
    <w:p>
      <w:pPr>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lang w:eastAsia="zh-CN"/>
        </w:rPr>
        <w:t>殡葬成本</w:t>
      </w:r>
      <w:r>
        <w:rPr>
          <w:rFonts w:hint="eastAsia" w:cs="黑体" w:asciiTheme="minorEastAsia" w:hAnsiTheme="minorEastAsia"/>
          <w:color w:val="000000"/>
          <w:kern w:val="0"/>
          <w:sz w:val="32"/>
          <w:szCs w:val="32"/>
        </w:rPr>
        <w:t>项目绩效自评综述：根据年初设定的绩效目标，项目绩效自评得分为</w:t>
      </w:r>
      <w:r>
        <w:rPr>
          <w:rFonts w:hint="eastAsia" w:cs="黑体" w:asciiTheme="minorEastAsia" w:hAnsiTheme="minorEastAsia"/>
          <w:color w:val="000000"/>
          <w:kern w:val="0"/>
          <w:sz w:val="32"/>
          <w:szCs w:val="32"/>
          <w:lang w:val="en-US" w:eastAsia="zh-CN"/>
        </w:rPr>
        <w:t>100</w:t>
      </w:r>
      <w:r>
        <w:rPr>
          <w:rFonts w:hint="eastAsia" w:cs="黑体" w:asciiTheme="minorEastAsia" w:hAnsiTheme="minorEastAsia"/>
          <w:color w:val="000000"/>
          <w:kern w:val="0"/>
          <w:sz w:val="32"/>
          <w:szCs w:val="32"/>
        </w:rPr>
        <w:t>分。项目全年预算数为</w:t>
      </w:r>
      <w:r>
        <w:rPr>
          <w:rFonts w:hint="eastAsia" w:cs="黑体" w:asciiTheme="minorEastAsia" w:hAnsiTheme="minorEastAsia"/>
          <w:color w:val="000000"/>
          <w:kern w:val="0"/>
          <w:sz w:val="32"/>
          <w:szCs w:val="32"/>
          <w:lang w:val="en-US" w:eastAsia="zh-CN"/>
        </w:rPr>
        <w:t>299</w:t>
      </w:r>
      <w:r>
        <w:rPr>
          <w:rFonts w:hint="eastAsia" w:cs="黑体" w:asciiTheme="minorEastAsia" w:hAnsiTheme="minorEastAsia"/>
          <w:color w:val="000000"/>
          <w:kern w:val="0"/>
          <w:sz w:val="32"/>
          <w:szCs w:val="32"/>
        </w:rPr>
        <w:t>万元，执行数为</w:t>
      </w:r>
      <w:r>
        <w:rPr>
          <w:rFonts w:hint="eastAsia" w:cs="黑体" w:asciiTheme="minorEastAsia" w:hAnsiTheme="minorEastAsia"/>
          <w:color w:val="000000"/>
          <w:kern w:val="0"/>
          <w:sz w:val="32"/>
          <w:szCs w:val="32"/>
          <w:lang w:val="en-US" w:eastAsia="zh-CN"/>
        </w:rPr>
        <w:t>299</w:t>
      </w:r>
      <w:r>
        <w:rPr>
          <w:rFonts w:hint="eastAsia" w:cs="黑体" w:asciiTheme="minorEastAsia" w:hAnsiTheme="minorEastAsia"/>
          <w:color w:val="000000"/>
          <w:kern w:val="0"/>
          <w:sz w:val="32"/>
          <w:szCs w:val="32"/>
        </w:rPr>
        <w:t>万元，完成预算的</w:t>
      </w:r>
      <w:r>
        <w:rPr>
          <w:rFonts w:hint="eastAsia" w:cs="黑体" w:asciiTheme="minorEastAsia" w:hAnsiTheme="minorEastAsia"/>
          <w:color w:val="000000"/>
          <w:kern w:val="0"/>
          <w:sz w:val="32"/>
          <w:szCs w:val="32"/>
          <w:lang w:val="en-US" w:eastAsia="zh-CN"/>
        </w:rPr>
        <w:t>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。项目绩效目标完成情况：</w:t>
      </w:r>
      <w:r>
        <w:rPr>
          <w:rFonts w:hint="eastAsia" w:asciiTheme="minorEastAsia" w:hAnsiTheme="minorEastAsia" w:eastAsiaTheme="minorEastAsia" w:cstheme="minorEastAsia"/>
          <w:sz w:val="30"/>
          <w:szCs w:val="24"/>
        </w:rPr>
        <w:t>总的来说</w:t>
      </w:r>
      <w:r>
        <w:rPr>
          <w:rFonts w:hint="eastAsia" w:asciiTheme="minorEastAsia" w:hAnsiTheme="minorEastAsia" w:eastAsiaTheme="minorEastAsia" w:cstheme="minorEastAsia"/>
          <w:color w:val="1B1B1B"/>
          <w:sz w:val="30"/>
          <w:szCs w:val="24"/>
          <w:shd w:val="clear" w:color="auto" w:fill="FFFFFF"/>
        </w:rPr>
        <w:t>，</w:t>
      </w:r>
      <w:r>
        <w:rPr>
          <w:rFonts w:hint="eastAsia" w:asciiTheme="minorEastAsia" w:hAnsiTheme="minorEastAsia" w:eastAsiaTheme="minorEastAsia" w:cstheme="minorEastAsia"/>
          <w:sz w:val="30"/>
          <w:szCs w:val="24"/>
        </w:rPr>
        <w:t>沅江市殡仪馆财务管理较为严格，建立了《财务管理制度》</w:t>
      </w:r>
      <w:r>
        <w:rPr>
          <w:rFonts w:hint="eastAsia" w:asciiTheme="minorEastAsia" w:hAnsiTheme="minorEastAsia" w:eastAsiaTheme="minorEastAsia" w:cstheme="minorEastAsia"/>
          <w:color w:val="1B1B1B"/>
          <w:sz w:val="30"/>
          <w:szCs w:val="24"/>
          <w:shd w:val="clear" w:color="auto" w:fill="FFFFFF"/>
        </w:rPr>
        <w:t>，</w:t>
      </w:r>
      <w:r>
        <w:rPr>
          <w:rFonts w:hint="eastAsia" w:asciiTheme="minorEastAsia" w:hAnsiTheme="minorEastAsia" w:eastAsiaTheme="minorEastAsia" w:cstheme="minorEastAsia"/>
          <w:sz w:val="30"/>
          <w:szCs w:val="24"/>
        </w:rPr>
        <w:t>并严格按照市财政局和民政局制定的公务接待、差旅费、培训费、会议费等相关管理办法，规范了公务支出管理</w:t>
      </w:r>
      <w:r>
        <w:rPr>
          <w:rFonts w:hint="eastAsia" w:asciiTheme="minorEastAsia" w:hAnsiTheme="minorEastAsia" w:eastAsiaTheme="minorEastAsia" w:cstheme="minorEastAsia"/>
          <w:color w:val="1B1B1B"/>
          <w:sz w:val="30"/>
          <w:szCs w:val="24"/>
          <w:shd w:val="clear" w:color="auto" w:fill="FFFFFF"/>
        </w:rPr>
        <w:t>。</w:t>
      </w:r>
      <w:r>
        <w:rPr>
          <w:rFonts w:hint="eastAsia" w:asciiTheme="minorEastAsia" w:hAnsiTheme="minorEastAsia" w:eastAsiaTheme="minorEastAsia" w:cstheme="minorEastAsia"/>
          <w:sz w:val="30"/>
          <w:szCs w:val="24"/>
        </w:rPr>
        <w:t>严格履行财务审批手续，做到了无计划安排不报账</w:t>
      </w:r>
      <w:r>
        <w:rPr>
          <w:rFonts w:hint="eastAsia" w:asciiTheme="minorEastAsia" w:hAnsiTheme="minorEastAsia" w:eastAsiaTheme="minorEastAsia" w:cstheme="minorEastAsia"/>
          <w:color w:val="1B1B1B"/>
          <w:sz w:val="30"/>
          <w:szCs w:val="24"/>
          <w:shd w:val="clear" w:color="auto" w:fill="FFFFFF"/>
        </w:rPr>
        <w:t>，</w:t>
      </w:r>
      <w:r>
        <w:rPr>
          <w:rFonts w:hint="eastAsia" w:asciiTheme="minorEastAsia" w:hAnsiTheme="minorEastAsia" w:eastAsiaTheme="minorEastAsia" w:cstheme="minorEastAsia"/>
          <w:sz w:val="30"/>
          <w:szCs w:val="24"/>
        </w:rPr>
        <w:t>无领导审批不报账，无经手人签字不报账</w:t>
      </w:r>
      <w:r>
        <w:rPr>
          <w:rFonts w:hint="eastAsia" w:asciiTheme="minorEastAsia" w:hAnsiTheme="minorEastAsia" w:eastAsiaTheme="minorEastAsia" w:cstheme="minorEastAsia"/>
          <w:color w:val="1B1B1B"/>
          <w:sz w:val="30"/>
          <w:szCs w:val="24"/>
          <w:shd w:val="clear" w:color="auto" w:fill="FFFFFF"/>
        </w:rPr>
        <w:t>，</w:t>
      </w:r>
      <w:r>
        <w:rPr>
          <w:rFonts w:hint="eastAsia" w:asciiTheme="minorEastAsia" w:hAnsiTheme="minorEastAsia" w:eastAsiaTheme="minorEastAsia" w:cstheme="minorEastAsia"/>
          <w:sz w:val="30"/>
          <w:szCs w:val="24"/>
        </w:rPr>
        <w:t>不符合财务规定的发票、票据不报账。经费的开支管理及费用报销均严格执行相关制度规定</w:t>
      </w:r>
      <w:r>
        <w:rPr>
          <w:rFonts w:hint="eastAsia" w:asciiTheme="minorEastAsia" w:hAnsiTheme="minorEastAsia" w:eastAsiaTheme="minorEastAsia" w:cstheme="minorEastAsia"/>
          <w:color w:val="1B1B1B"/>
          <w:sz w:val="30"/>
          <w:szCs w:val="24"/>
          <w:shd w:val="clear" w:color="auto" w:fill="FFFFFF"/>
        </w:rPr>
        <w:t>，</w:t>
      </w:r>
      <w:r>
        <w:rPr>
          <w:rFonts w:hint="eastAsia" w:asciiTheme="minorEastAsia" w:hAnsiTheme="minorEastAsia" w:eastAsiaTheme="minorEastAsia" w:cstheme="minorEastAsia"/>
          <w:sz w:val="30"/>
          <w:szCs w:val="24"/>
        </w:rPr>
        <w:t>坚持勤俭节约，确保资金的规范使用与安全</w:t>
      </w:r>
      <w:r>
        <w:rPr>
          <w:rFonts w:hint="eastAsia" w:ascii="仿宋" w:hAnsi="仿宋" w:eastAsia="仿宋"/>
          <w:color w:val="1B1B1B"/>
          <w:sz w:val="30"/>
          <w:szCs w:val="24"/>
          <w:shd w:val="clear" w:color="auto" w:fill="FFFFFF"/>
        </w:rPr>
        <w:t>。</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w:t>
      </w:r>
      <w:r>
        <w:rPr>
          <w:rFonts w:cs="黑体" w:asciiTheme="minorEastAsia" w:hAnsiTheme="minorEastAsia"/>
          <w:b/>
          <w:color w:val="000000"/>
          <w:kern w:val="0"/>
          <w:sz w:val="32"/>
          <w:szCs w:val="32"/>
        </w:rPr>
        <w:t>3</w:t>
      </w:r>
      <w:r>
        <w:rPr>
          <w:rFonts w:hint="eastAsia" w:cs="黑体" w:asciiTheme="minorEastAsia" w:hAnsiTheme="minorEastAsia"/>
          <w:b/>
          <w:color w:val="000000"/>
          <w:kern w:val="0"/>
          <w:sz w:val="32"/>
          <w:szCs w:val="32"/>
        </w:rPr>
        <w:t>）部门评价项目绩效评价结果。</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部门评价项目数量</w:t>
      </w:r>
      <w:r>
        <w:rPr>
          <w:rFonts w:cs="黑体" w:asciiTheme="minorEastAsia" w:hAnsiTheme="minorEastAsia"/>
          <w:color w:val="000000"/>
          <w:kern w:val="0"/>
          <w:sz w:val="32"/>
          <w:szCs w:val="32"/>
        </w:rPr>
        <w:t>3</w:t>
      </w:r>
      <w:r>
        <w:rPr>
          <w:rFonts w:hint="eastAsia" w:cs="黑体" w:asciiTheme="minorEastAsia" w:hAnsiTheme="minorEastAsia"/>
          <w:color w:val="000000"/>
          <w:kern w:val="0"/>
          <w:sz w:val="32"/>
          <w:szCs w:val="32"/>
        </w:rPr>
        <w:t>个以内的，至少将</w:t>
      </w:r>
      <w:r>
        <w:rPr>
          <w:rFonts w:cs="黑体" w:asciiTheme="minorEastAsia" w:hAnsiTheme="minorEastAsia"/>
          <w:color w:val="000000"/>
          <w:kern w:val="0"/>
          <w:sz w:val="32"/>
          <w:szCs w:val="32"/>
        </w:rPr>
        <w:t xml:space="preserve">1 </w:t>
      </w:r>
      <w:r>
        <w:rPr>
          <w:rFonts w:hint="eastAsia" w:cs="黑体" w:asciiTheme="minorEastAsia" w:hAnsiTheme="minorEastAsia"/>
          <w:color w:val="000000"/>
          <w:kern w:val="0"/>
          <w:sz w:val="32"/>
          <w:szCs w:val="32"/>
        </w:rPr>
        <w:t>个部门评价报告向社会公开；部门评价项目数量大于</w:t>
      </w:r>
      <w:r>
        <w:rPr>
          <w:rFonts w:cs="黑体" w:asciiTheme="minorEastAsia" w:hAnsiTheme="minorEastAsia"/>
          <w:color w:val="000000"/>
          <w:kern w:val="0"/>
          <w:sz w:val="32"/>
          <w:szCs w:val="32"/>
        </w:rPr>
        <w:t xml:space="preserve">3 </w:t>
      </w:r>
      <w:r>
        <w:rPr>
          <w:rFonts w:hint="eastAsia" w:cs="黑体" w:asciiTheme="minorEastAsia" w:hAnsiTheme="minorEastAsia"/>
          <w:color w:val="000000"/>
          <w:kern w:val="0"/>
          <w:sz w:val="32"/>
          <w:szCs w:val="32"/>
        </w:rPr>
        <w:t>个的，至少将</w:t>
      </w:r>
      <w:r>
        <w:rPr>
          <w:rFonts w:cs="黑体" w:asciiTheme="minorEastAsia" w:hAnsiTheme="minorEastAsia"/>
          <w:color w:val="000000"/>
          <w:kern w:val="0"/>
          <w:sz w:val="32"/>
          <w:szCs w:val="32"/>
        </w:rPr>
        <w:t xml:space="preserve">2 </w:t>
      </w:r>
      <w:r>
        <w:rPr>
          <w:rFonts w:hint="eastAsia" w:cs="黑体" w:asciiTheme="minorEastAsia" w:hAnsiTheme="minorEastAsia"/>
          <w:color w:val="000000"/>
          <w:kern w:val="0"/>
          <w:sz w:val="32"/>
          <w:szCs w:val="32"/>
        </w:rPr>
        <w:t>个部门评价报告向社会公开。报告框架可参考《项目支出绩效评价办法》（财预〔</w:t>
      </w:r>
      <w:r>
        <w:rPr>
          <w:rFonts w:cs="黑体" w:asciiTheme="minorEastAsia" w:hAnsiTheme="minorEastAsia"/>
          <w:color w:val="000000"/>
          <w:kern w:val="0"/>
          <w:sz w:val="32"/>
          <w:szCs w:val="32"/>
        </w:rPr>
        <w:t>2020</w:t>
      </w:r>
      <w:r>
        <w:rPr>
          <w:rFonts w:hint="eastAsia" w:cs="黑体" w:asciiTheme="minorEastAsia" w:hAnsiTheme="minorEastAsia"/>
          <w:color w:val="000000"/>
          <w:kern w:val="0"/>
          <w:sz w:val="32"/>
          <w:szCs w:val="32"/>
        </w:rPr>
        <w:t>〕</w:t>
      </w:r>
      <w:r>
        <w:rPr>
          <w:rFonts w:cs="黑体" w:asciiTheme="minorEastAsia" w:hAnsiTheme="minorEastAsia"/>
          <w:color w:val="000000"/>
          <w:kern w:val="0"/>
          <w:sz w:val="32"/>
          <w:szCs w:val="32"/>
        </w:rPr>
        <w:t xml:space="preserve">10 </w:t>
      </w:r>
      <w:r>
        <w:rPr>
          <w:rFonts w:hint="eastAsia" w:cs="黑体" w:asciiTheme="minorEastAsia" w:hAnsiTheme="minorEastAsia"/>
          <w:color w:val="000000"/>
          <w:kern w:val="0"/>
          <w:sz w:val="32"/>
          <w:szCs w:val="32"/>
        </w:rPr>
        <w:t>号）中《项目支出绩效评价报告（参考提纲）》、《湖南省预算支出绩效评价管理办法》（湘财绩〔</w:t>
      </w:r>
      <w:r>
        <w:rPr>
          <w:rFonts w:cs="黑体" w:asciiTheme="minorEastAsia" w:hAnsiTheme="minorEastAsia"/>
          <w:color w:val="000000"/>
          <w:kern w:val="0"/>
          <w:sz w:val="32"/>
          <w:szCs w:val="32"/>
        </w:rPr>
        <w:t>2020</w:t>
      </w:r>
      <w:r>
        <w:rPr>
          <w:rFonts w:hint="eastAsia" w:cs="黑体" w:asciiTheme="minorEastAsia" w:hAnsiTheme="minorEastAsia"/>
          <w:color w:val="000000"/>
          <w:kern w:val="0"/>
          <w:sz w:val="32"/>
          <w:szCs w:val="32"/>
        </w:rPr>
        <w:t>〕7号）。</w:t>
      </w: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rPr>
          <w:sz w:val="72"/>
          <w:szCs w:val="72"/>
        </w:rPr>
      </w:pPr>
    </w:p>
    <w:p>
      <w:pPr>
        <w:pStyle w:val="9"/>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ind w:firstLine="643"/>
        <w:jc w:val="left"/>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ind w:firstLine="643"/>
        <w:jc w:val="left"/>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ind w:firstLine="643"/>
        <w:jc w:val="left"/>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ind w:firstLine="643"/>
        <w:jc w:val="left"/>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ascii="仿宋" w:hAnsi="仿宋" w:eastAsia="仿宋" w:cs="仿宋"/>
          <w:sz w:val="32"/>
        </w:rPr>
      </w:pPr>
      <w:r>
        <w:rPr>
          <w:rFonts w:ascii="仿宋" w:hAnsi="仿宋" w:eastAsia="仿宋" w:cs="仿宋"/>
          <w:sz w:val="32"/>
        </w:rPr>
        <w:t xml:space="preserve">作任务而发生的人员支出和公用支出。 </w:t>
      </w:r>
    </w:p>
    <w:p>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sz w:val="72"/>
          <w:szCs w:val="7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ascii="黑体" w:eastAsia="黑体" w:cs="黑体"/>
          <w:color w:val="000000"/>
          <w:kern w:val="0"/>
          <w:sz w:val="70"/>
          <w:szCs w:val="70"/>
        </w:rPr>
      </w:pPr>
    </w:p>
    <w:p>
      <w:pPr>
        <w:ind w:firstLine="640" w:firstLineChars="200"/>
        <w:jc w:val="left"/>
        <w:rPr>
          <w:rFonts w:hint="eastAsia" w:cs="黑体" w:asciiTheme="minorEastAsia" w:hAnsiTheme="minorEastAsia"/>
          <w:b/>
          <w:color w:val="000000"/>
          <w:kern w:val="0"/>
          <w:sz w:val="32"/>
          <w:szCs w:val="32"/>
        </w:rPr>
      </w:pPr>
      <w:r>
        <w:rPr>
          <w:rFonts w:hint="eastAsia" w:cs="黑体" w:asciiTheme="minorEastAsia" w:hAnsiTheme="minorEastAsia"/>
          <w:b/>
          <w:color w:val="000000"/>
          <w:kern w:val="0"/>
          <w:sz w:val="32"/>
          <w:szCs w:val="32"/>
          <w:lang w:val="en-US" w:eastAsia="zh-CN"/>
        </w:rPr>
        <w:t>1、</w:t>
      </w:r>
      <w:r>
        <w:rPr>
          <w:rFonts w:hint="eastAsia" w:cs="黑体" w:asciiTheme="minorEastAsia" w:hAnsiTheme="minorEastAsia"/>
          <w:b/>
          <w:color w:val="000000"/>
          <w:kern w:val="0"/>
          <w:sz w:val="32"/>
          <w:szCs w:val="32"/>
        </w:rPr>
        <w:t>2021年度部门整体支出绩效评价报告</w:t>
      </w:r>
    </w:p>
    <w:p>
      <w:pPr>
        <w:ind w:firstLine="640" w:firstLineChars="200"/>
        <w:jc w:val="left"/>
        <w:rPr>
          <w:rFonts w:hint="eastAsia" w:cs="黑体" w:asciiTheme="minorEastAsia" w:hAnsiTheme="minorEastAsia"/>
          <w:b/>
          <w:color w:val="000000"/>
          <w:kern w:val="0"/>
          <w:sz w:val="32"/>
          <w:szCs w:val="32"/>
        </w:rPr>
      </w:pPr>
      <w:r>
        <w:rPr>
          <w:rFonts w:hint="eastAsia" w:cs="黑体" w:asciiTheme="minorEastAsia" w:hAnsiTheme="minorEastAsia"/>
          <w:b/>
          <w:color w:val="000000"/>
          <w:kern w:val="0"/>
          <w:sz w:val="32"/>
          <w:szCs w:val="32"/>
          <w:lang w:val="en-US" w:eastAsia="zh-CN"/>
        </w:rPr>
        <w:t>2、</w:t>
      </w:r>
      <w:r>
        <w:rPr>
          <w:rFonts w:hint="eastAsia" w:cs="黑体" w:asciiTheme="minorEastAsia" w:hAnsiTheme="minorEastAsia"/>
          <w:b/>
          <w:color w:val="000000"/>
          <w:kern w:val="0"/>
          <w:sz w:val="32"/>
          <w:szCs w:val="32"/>
        </w:rPr>
        <w:t>20</w:t>
      </w:r>
      <w:r>
        <w:rPr>
          <w:rFonts w:hint="eastAsia" w:cs="黑体" w:asciiTheme="minorEastAsia" w:hAnsiTheme="minorEastAsia"/>
          <w:b/>
          <w:color w:val="000000"/>
          <w:kern w:val="0"/>
          <w:sz w:val="32"/>
          <w:szCs w:val="32"/>
          <w:lang w:val="en-US" w:eastAsia="zh-CN"/>
        </w:rPr>
        <w:t>21</w:t>
      </w:r>
      <w:r>
        <w:rPr>
          <w:rFonts w:hint="eastAsia" w:cs="黑体" w:asciiTheme="minorEastAsia" w:hAnsiTheme="minorEastAsia"/>
          <w:b/>
          <w:color w:val="000000"/>
          <w:kern w:val="0"/>
          <w:sz w:val="32"/>
          <w:szCs w:val="32"/>
        </w:rPr>
        <w:t>年沅江市</w:t>
      </w:r>
      <w:r>
        <w:rPr>
          <w:rFonts w:hint="eastAsia" w:cs="黑体" w:asciiTheme="minorEastAsia" w:hAnsiTheme="minorEastAsia"/>
          <w:b/>
          <w:color w:val="000000"/>
          <w:kern w:val="0"/>
          <w:sz w:val="32"/>
          <w:szCs w:val="32"/>
          <w:lang w:eastAsia="zh-CN"/>
        </w:rPr>
        <w:t>殡仪馆</w:t>
      </w:r>
      <w:bookmarkStart w:id="3" w:name="_GoBack"/>
      <w:bookmarkEnd w:id="3"/>
      <w:r>
        <w:rPr>
          <w:rFonts w:hint="eastAsia" w:cs="黑体" w:asciiTheme="minorEastAsia" w:hAnsiTheme="minorEastAsia"/>
          <w:b/>
          <w:color w:val="000000"/>
          <w:kern w:val="0"/>
          <w:sz w:val="32"/>
          <w:szCs w:val="32"/>
        </w:rPr>
        <w:t>决算公开表格</w:t>
      </w: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inSun">
    <w:altName w:val="Times New Roman"/>
    <w:panose1 w:val="00000000000000000000"/>
    <w:charset w:val="00"/>
    <w:family w:val="roman"/>
    <w:pitch w:val="default"/>
    <w:sig w:usb0="00000000" w:usb1="00000000" w:usb2="00000000"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B6CEE4"/>
    <w:multiLevelType w:val="singleLevel"/>
    <w:tmpl w:val="86B6CEE4"/>
    <w:lvl w:ilvl="0" w:tentative="0">
      <w:start w:val="1"/>
      <w:numFmt w:val="decimal"/>
      <w:suff w:val="nothing"/>
      <w:lvlText w:val="%1、"/>
      <w:lvlJc w:val="left"/>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94636E6"/>
    <w:multiLevelType w:val="singleLevel"/>
    <w:tmpl w:val="394636E6"/>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hYjg0ZWJhYTczYWViODJkMDdiZmE1NzZkNzQ0YmY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6397152"/>
    <w:rsid w:val="076F100F"/>
    <w:rsid w:val="0980263F"/>
    <w:rsid w:val="0A0D1B27"/>
    <w:rsid w:val="0BA14E07"/>
    <w:rsid w:val="0D9803FA"/>
    <w:rsid w:val="0E3E7DE0"/>
    <w:rsid w:val="13DE4B94"/>
    <w:rsid w:val="15F95EA6"/>
    <w:rsid w:val="161A0B74"/>
    <w:rsid w:val="16AD3796"/>
    <w:rsid w:val="22721D38"/>
    <w:rsid w:val="23241284"/>
    <w:rsid w:val="23D81624"/>
    <w:rsid w:val="2B3B716B"/>
    <w:rsid w:val="2BF43A63"/>
    <w:rsid w:val="352670A0"/>
    <w:rsid w:val="356F5ECC"/>
    <w:rsid w:val="365033E1"/>
    <w:rsid w:val="40AD5BBF"/>
    <w:rsid w:val="41C00A49"/>
    <w:rsid w:val="46961164"/>
    <w:rsid w:val="4879092B"/>
    <w:rsid w:val="4A9338E4"/>
    <w:rsid w:val="4F665D41"/>
    <w:rsid w:val="50C00B13"/>
    <w:rsid w:val="52C07A61"/>
    <w:rsid w:val="54376BCA"/>
    <w:rsid w:val="55814DA6"/>
    <w:rsid w:val="564D06FA"/>
    <w:rsid w:val="56BF111A"/>
    <w:rsid w:val="62402CDD"/>
    <w:rsid w:val="63260AD7"/>
    <w:rsid w:val="63310C18"/>
    <w:rsid w:val="66344C92"/>
    <w:rsid w:val="6BE5681E"/>
    <w:rsid w:val="6CB610AF"/>
    <w:rsid w:val="6EB365E5"/>
    <w:rsid w:val="71FD7814"/>
    <w:rsid w:val="77877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7395</Words>
  <Characters>8922</Characters>
  <Lines>69</Lines>
  <Paragraphs>19</Paragraphs>
  <TotalTime>0</TotalTime>
  <ScaleCrop>false</ScaleCrop>
  <LinksUpToDate>false</LinksUpToDate>
  <CharactersWithSpaces>9920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Anna</cp:lastModifiedBy>
  <cp:lastPrinted>2022-07-27T12:55:00Z</cp:lastPrinted>
  <dcterms:modified xsi:type="dcterms:W3CDTF">2022-09-23T03:09:48Z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498B1A7110DC49EABDAF78268096B46A</vt:lpwstr>
  </property>
</Properties>
</file>