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default" w:ascii="Times New Roman" w:hAnsi="Times New Roman" w:cs="Times New Roman"/>
          <w:sz w:val="56"/>
          <w:szCs w:val="56"/>
        </w:rPr>
      </w:pPr>
    </w:p>
    <w:p>
      <w:pPr>
        <w:pStyle w:val="9"/>
        <w:jc w:val="center"/>
        <w:rPr>
          <w:rFonts w:hint="default" w:ascii="Times New Roman" w:hAnsi="Times New Roman" w:cs="Times New Roman"/>
          <w:sz w:val="56"/>
          <w:szCs w:val="56"/>
        </w:rPr>
      </w:pPr>
    </w:p>
    <w:p>
      <w:pPr>
        <w:pStyle w:val="9"/>
        <w:jc w:val="center"/>
        <w:rPr>
          <w:rFonts w:hint="default" w:ascii="Times New Roman" w:hAnsi="Times New Roman" w:cs="Times New Roman"/>
          <w:sz w:val="84"/>
          <w:szCs w:val="84"/>
        </w:rPr>
      </w:pPr>
    </w:p>
    <w:p>
      <w:pPr>
        <w:pStyle w:val="9"/>
        <w:jc w:val="center"/>
        <w:rPr>
          <w:rFonts w:hint="default" w:ascii="Times New Roman" w:hAnsi="Times New Roman" w:cs="Times New Roman"/>
          <w:sz w:val="84"/>
          <w:szCs w:val="84"/>
        </w:rPr>
      </w:pPr>
    </w:p>
    <w:p>
      <w:pPr>
        <w:pStyle w:val="9"/>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202</w:t>
      </w:r>
      <w:r>
        <w:rPr>
          <w:rFonts w:hint="default" w:ascii="Times New Roman" w:hAnsi="Times New Roman" w:eastAsia="方正小标宋_GBK" w:cs="Times New Roman"/>
          <w:sz w:val="84"/>
          <w:szCs w:val="84"/>
          <w:lang w:val="en-US" w:eastAsia="zh-CN"/>
        </w:rPr>
        <w:t>2</w:t>
      </w:r>
      <w:r>
        <w:rPr>
          <w:rFonts w:hint="default" w:ascii="Times New Roman" w:hAnsi="Times New Roman" w:eastAsia="方正小标宋_GBK" w:cs="Times New Roman"/>
          <w:sz w:val="84"/>
          <w:szCs w:val="84"/>
        </w:rPr>
        <w:t>年度</w:t>
      </w:r>
    </w:p>
    <w:p>
      <w:pPr>
        <w:pStyle w:val="9"/>
        <w:jc w:val="center"/>
        <w:rPr>
          <w:rFonts w:hint="eastAsia" w:ascii="Times New Roman" w:hAnsi="Times New Roman" w:eastAsia="方正小标宋_GBK" w:cs="Times New Roman"/>
          <w:sz w:val="84"/>
          <w:szCs w:val="84"/>
          <w:lang w:eastAsia="zh-CN"/>
        </w:rPr>
      </w:pPr>
      <w:r>
        <w:rPr>
          <w:rFonts w:hint="default" w:ascii="Times New Roman" w:hAnsi="Times New Roman" w:eastAsia="方正小标宋_GBK" w:cs="Times New Roman"/>
          <w:sz w:val="84"/>
          <w:szCs w:val="84"/>
          <w:lang w:eastAsia="zh-CN"/>
        </w:rPr>
        <w:t>中共沅江市委网络安全和信息化委员会办公室</w:t>
      </w:r>
      <w:r>
        <w:rPr>
          <w:rFonts w:hint="default" w:ascii="Times New Roman" w:hAnsi="Times New Roman" w:eastAsia="方正小标宋_GBK" w:cs="Times New Roman"/>
          <w:sz w:val="84"/>
          <w:szCs w:val="84"/>
        </w:rPr>
        <w:t>决算</w:t>
      </w:r>
      <w:r>
        <w:rPr>
          <w:rFonts w:hint="eastAsia" w:ascii="Times New Roman" w:hAnsi="Times New Roman" w:eastAsia="方正小标宋_GBK" w:cs="Times New Roman"/>
          <w:sz w:val="84"/>
          <w:szCs w:val="84"/>
          <w:lang w:eastAsia="zh-CN"/>
        </w:rPr>
        <w:t>公开</w:t>
      </w:r>
    </w:p>
    <w:p>
      <w:pPr>
        <w:pStyle w:val="9"/>
        <w:jc w:val="center"/>
        <w:rPr>
          <w:rFonts w:hint="default" w:ascii="Times New Roman" w:hAnsi="Times New Roman" w:eastAsia="方正小标宋_GBK" w:cs="Times New Roman"/>
          <w:sz w:val="56"/>
          <w:szCs w:val="56"/>
        </w:rPr>
      </w:pPr>
    </w:p>
    <w:p>
      <w:pPr>
        <w:pStyle w:val="9"/>
        <w:jc w:val="center"/>
        <w:rPr>
          <w:rFonts w:hint="default" w:ascii="Times New Roman" w:hAnsi="Times New Roman" w:cs="Times New Roman"/>
          <w:sz w:val="56"/>
          <w:szCs w:val="56"/>
        </w:rPr>
      </w:pPr>
    </w:p>
    <w:p>
      <w:pPr>
        <w:pStyle w:val="9"/>
        <w:jc w:val="center"/>
        <w:rPr>
          <w:rFonts w:hint="default" w:ascii="Times New Roman" w:hAnsi="Times New Roman" w:cs="Times New Roman"/>
          <w:sz w:val="56"/>
          <w:szCs w:val="56"/>
        </w:rPr>
      </w:pPr>
    </w:p>
    <w:p>
      <w:pPr>
        <w:pStyle w:val="9"/>
        <w:jc w:val="center"/>
        <w:rPr>
          <w:rFonts w:hint="default" w:ascii="Times New Roman" w:hAnsi="Times New Roman" w:cs="Times New Roman"/>
          <w:sz w:val="56"/>
          <w:szCs w:val="56"/>
        </w:rPr>
      </w:pPr>
    </w:p>
    <w:p>
      <w:pPr>
        <w:pStyle w:val="9"/>
        <w:jc w:val="center"/>
        <w:rPr>
          <w:rFonts w:hint="default" w:ascii="Times New Roman" w:hAnsi="Times New Roman" w:cs="Times New Roman"/>
          <w:sz w:val="32"/>
          <w:szCs w:val="32"/>
        </w:rPr>
      </w:pPr>
    </w:p>
    <w:p>
      <w:pPr>
        <w:pStyle w:val="9"/>
        <w:jc w:val="center"/>
        <w:rPr>
          <w:rFonts w:hint="default" w:ascii="Times New Roman" w:hAnsi="Times New Roman" w:cs="Times New Roman"/>
          <w:sz w:val="32"/>
          <w:szCs w:val="32"/>
        </w:rPr>
      </w:pPr>
    </w:p>
    <w:p>
      <w:pPr>
        <w:pStyle w:val="9"/>
        <w:jc w:val="center"/>
        <w:rPr>
          <w:rFonts w:hint="default" w:ascii="Times New Roman" w:hAnsi="Times New Roman" w:cs="Times New Roman"/>
          <w:sz w:val="32"/>
          <w:szCs w:val="32"/>
        </w:rPr>
      </w:pPr>
    </w:p>
    <w:p>
      <w:pPr>
        <w:pStyle w:val="9"/>
        <w:jc w:val="center"/>
        <w:rPr>
          <w:rFonts w:hint="default" w:ascii="Times New Roman" w:hAnsi="Times New Roman" w:cs="Times New Roman"/>
          <w:sz w:val="32"/>
          <w:szCs w:val="32"/>
        </w:rPr>
      </w:pPr>
    </w:p>
    <w:p>
      <w:pPr>
        <w:pStyle w:val="9"/>
        <w:jc w:val="center"/>
        <w:rPr>
          <w:rFonts w:hint="default" w:ascii="Times New Roman" w:hAnsi="Times New Roman" w:cs="Times New Roman"/>
          <w:sz w:val="32"/>
          <w:szCs w:val="32"/>
        </w:rPr>
      </w:pPr>
    </w:p>
    <w:p>
      <w:pPr>
        <w:pStyle w:val="9"/>
        <w:spacing w:line="500" w:lineRule="exact"/>
        <w:jc w:val="center"/>
        <w:rPr>
          <w:rFonts w:hint="default" w:ascii="Times New Roman" w:hAnsi="Times New Roman" w:cs="Times New Roman"/>
          <w:b/>
          <w:sz w:val="36"/>
          <w:szCs w:val="28"/>
        </w:rPr>
      </w:pPr>
      <w:bookmarkStart w:id="0" w:name="_GoBack"/>
      <w:bookmarkEnd w:id="0"/>
      <w:r>
        <w:rPr>
          <w:rFonts w:hint="default" w:ascii="Times New Roman" w:hAnsi="Times New Roman" w:cs="Times New Roman"/>
          <w:b/>
          <w:sz w:val="36"/>
          <w:szCs w:val="28"/>
        </w:rPr>
        <w:t>目录</w:t>
      </w:r>
    </w:p>
    <w:p>
      <w:pPr>
        <w:pStyle w:val="9"/>
        <w:spacing w:line="50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第一部分中共沅江市委网络安全和信息化委员会办公室单位概况</w:t>
      </w:r>
    </w:p>
    <w:p>
      <w:pPr>
        <w:pStyle w:val="9"/>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一、部门职责</w:t>
      </w:r>
    </w:p>
    <w:p>
      <w:pPr>
        <w:pStyle w:val="9"/>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二、机构设置</w:t>
      </w:r>
    </w:p>
    <w:p>
      <w:pPr>
        <w:pStyle w:val="9"/>
        <w:spacing w:line="50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第二部分</w:t>
      </w: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eastAsia="黑体" w:cs="Times New Roman"/>
          <w:b w:val="0"/>
          <w:bCs/>
          <w:sz w:val="28"/>
          <w:szCs w:val="28"/>
        </w:rPr>
        <w:t>部门决算表</w:t>
      </w:r>
    </w:p>
    <w:p>
      <w:pPr>
        <w:pStyle w:val="9"/>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一、收入支出决算总表</w:t>
      </w:r>
    </w:p>
    <w:p>
      <w:pPr>
        <w:pStyle w:val="9"/>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二、收入决算表</w:t>
      </w:r>
    </w:p>
    <w:p>
      <w:pPr>
        <w:pStyle w:val="9"/>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三、支出决算表</w:t>
      </w:r>
    </w:p>
    <w:p>
      <w:pPr>
        <w:pStyle w:val="9"/>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四、财政拨款收入支出决算总表</w:t>
      </w:r>
    </w:p>
    <w:p>
      <w:pPr>
        <w:pStyle w:val="9"/>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五、一般公共预算财政拨款支出决算表</w:t>
      </w:r>
    </w:p>
    <w:p>
      <w:pPr>
        <w:pStyle w:val="9"/>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六、一般公共预算财政拨款基本支出决算明细表</w:t>
      </w:r>
    </w:p>
    <w:p>
      <w:pPr>
        <w:pStyle w:val="9"/>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七、政府性基金预算财政拨款收入支出决算表</w:t>
      </w:r>
    </w:p>
    <w:p>
      <w:pPr>
        <w:pStyle w:val="9"/>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八、国有资本经营预算财政拨款支出决算表</w:t>
      </w:r>
    </w:p>
    <w:p>
      <w:pPr>
        <w:pStyle w:val="9"/>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九、财政拨款“三公”经费支出决算表</w:t>
      </w:r>
    </w:p>
    <w:p>
      <w:pPr>
        <w:pStyle w:val="9"/>
        <w:spacing w:line="50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第三部分</w:t>
      </w: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eastAsia="黑体" w:cs="Times New Roman"/>
          <w:b w:val="0"/>
          <w:bCs/>
          <w:sz w:val="28"/>
          <w:szCs w:val="28"/>
        </w:rPr>
        <w:t>部门决算情况说明</w:t>
      </w:r>
    </w:p>
    <w:p>
      <w:pPr>
        <w:pStyle w:val="9"/>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一、收入支出决算总体情况说明</w:t>
      </w:r>
    </w:p>
    <w:p>
      <w:pPr>
        <w:spacing w:line="500" w:lineRule="exact"/>
        <w:ind w:firstLine="700" w:firstLineChars="25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二、收入决算情况说明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三、支出决算情况说明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十、一般性支出情况说明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十一、关于政府采购支出说明</w:t>
      </w:r>
    </w:p>
    <w:p>
      <w:pPr>
        <w:pStyle w:val="9"/>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十二、关于国有资产占用情况说明</w:t>
      </w:r>
    </w:p>
    <w:p>
      <w:pPr>
        <w:pStyle w:val="9"/>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十三、关于预算绩效情况的说明</w:t>
      </w:r>
    </w:p>
    <w:p>
      <w:pPr>
        <w:pStyle w:val="9"/>
        <w:spacing w:line="50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第四部分</w:t>
      </w: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eastAsia="黑体" w:cs="Times New Roman"/>
          <w:b w:val="0"/>
          <w:bCs/>
          <w:sz w:val="28"/>
          <w:szCs w:val="28"/>
        </w:rPr>
        <w:t>名词解释</w:t>
      </w: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rPr>
          <w:rFonts w:hint="default" w:ascii="Times New Roman" w:hAnsi="Times New Roman" w:eastAsia="方正小标宋_GBK" w:cs="Times New Roman"/>
          <w:sz w:val="72"/>
          <w:szCs w:val="72"/>
        </w:rPr>
      </w:pPr>
    </w:p>
    <w:p>
      <w:pPr>
        <w:pStyle w:val="9"/>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 xml:space="preserve">第一部分 </w:t>
      </w:r>
    </w:p>
    <w:p>
      <w:pPr>
        <w:pStyle w:val="9"/>
        <w:jc w:val="center"/>
        <w:rPr>
          <w:rFonts w:hint="default" w:ascii="Times New Roman" w:hAnsi="Times New Roman" w:eastAsia="方正小标宋_GBK" w:cs="Times New Roman"/>
          <w:sz w:val="84"/>
          <w:szCs w:val="84"/>
        </w:rPr>
      </w:pPr>
    </w:p>
    <w:p>
      <w:pPr>
        <w:pStyle w:val="9"/>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lang w:eastAsia="zh-CN"/>
        </w:rPr>
        <w:t>中共沅江市委网络安全和信息化委员会办公室</w:t>
      </w:r>
      <w:r>
        <w:rPr>
          <w:rFonts w:hint="default" w:ascii="Times New Roman" w:hAnsi="Times New Roman" w:eastAsia="方正小标宋_GBK" w:cs="Times New Roman"/>
          <w:sz w:val="84"/>
          <w:szCs w:val="84"/>
        </w:rPr>
        <w:t>概况</w:t>
      </w:r>
    </w:p>
    <w:p>
      <w:pPr>
        <w:jc w:val="center"/>
        <w:rPr>
          <w:rFonts w:hint="default" w:ascii="Times New Roman" w:hAnsi="Times New Roman" w:eastAsia="方正小标宋_GBK" w:cs="Times New Roman"/>
          <w:sz w:val="72"/>
          <w:szCs w:val="72"/>
        </w:rPr>
      </w:pPr>
    </w:p>
    <w:p>
      <w:pPr>
        <w:jc w:val="center"/>
        <w:rPr>
          <w:rFonts w:hint="default" w:ascii="Times New Roman" w:hAnsi="Times New Roman" w:eastAsia="方正小标宋_GBK"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pStyle w:val="10"/>
        <w:keepNext w:val="0"/>
        <w:keepLines w:val="0"/>
        <w:pageBreakBefore w:val="0"/>
        <w:numPr>
          <w:ilvl w:val="0"/>
          <w:numId w:val="1"/>
        </w:numPr>
        <w:kinsoku/>
        <w:wordWrap/>
        <w:overflowPunct/>
        <w:topLinePunct w:val="0"/>
        <w:autoSpaceDE/>
        <w:autoSpaceDN/>
        <w:bidi w:val="0"/>
        <w:adjustRightInd/>
        <w:snapToGrid w:val="0"/>
        <w:spacing w:line="560" w:lineRule="exact"/>
        <w:ind w:firstLine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部门职责</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内容涉密</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（一）内设机构设置。中共沅江市委网络安全和信息化委员会办公室为市委网信委的办事机构，作为市委工作机关，对外加挂市互联网信息办公室牌子，承担市委网信委日常事务工作</w:t>
      </w:r>
      <w:r>
        <w:rPr>
          <w:rFonts w:hint="default" w:ascii="Times New Roman" w:hAnsi="Times New Roman" w:cs="Times New Roman"/>
          <w:bCs/>
          <w:kern w:val="0"/>
          <w:sz w:val="32"/>
          <w:szCs w:val="32"/>
          <w:lang w:val="en-US" w:eastAsia="zh-CN"/>
        </w:rPr>
        <w:t>。市委</w:t>
      </w:r>
      <w:r>
        <w:rPr>
          <w:rFonts w:hint="default" w:ascii="Times New Roman" w:hAnsi="Times New Roman" w:cs="Times New Roman"/>
          <w:bCs/>
          <w:kern w:val="0"/>
          <w:sz w:val="32"/>
          <w:szCs w:val="32"/>
        </w:rPr>
        <w:t>网信办为正科级行政单位，内设综合股、网络宣传评论股、网络安全与执法股</w:t>
      </w:r>
      <w:r>
        <w:rPr>
          <w:rFonts w:hint="default" w:ascii="Times New Roman" w:hAnsi="Times New Roman" w:cs="Times New Roman"/>
          <w:bCs/>
          <w:kern w:val="0"/>
          <w:sz w:val="32"/>
          <w:szCs w:val="32"/>
          <w:lang w:eastAsia="zh-CN"/>
        </w:rPr>
        <w:t>、网络安全应急指挥中心</w:t>
      </w:r>
      <w:r>
        <w:rPr>
          <w:rFonts w:hint="default" w:ascii="Times New Roman" w:hAnsi="Times New Roman" w:cs="Times New Roman"/>
          <w:bCs/>
          <w:kern w:val="0"/>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（二）决算单位构成。中共沅江市委网络安全和信息化委员会办公室</w:t>
      </w:r>
      <w:r>
        <w:rPr>
          <w:rFonts w:hint="default" w:ascii="Times New Roman" w:hAnsi="Times New Roman" w:cs="Times New Roman"/>
          <w:bCs/>
          <w:kern w:val="0"/>
          <w:sz w:val="32"/>
          <w:szCs w:val="32"/>
          <w:lang w:eastAsia="zh-CN"/>
        </w:rPr>
        <w:t>2022年</w:t>
      </w:r>
      <w:r>
        <w:rPr>
          <w:rFonts w:hint="default" w:ascii="Times New Roman" w:hAnsi="Times New Roman" w:cs="Times New Roman"/>
          <w:bCs/>
          <w:kern w:val="0"/>
          <w:sz w:val="32"/>
          <w:szCs w:val="32"/>
        </w:rPr>
        <w:t>部门决算汇总公开单位构成包括：只有中共沅江市委网络安全和信息化委员会办公室本级</w:t>
      </w:r>
    </w:p>
    <w:p>
      <w:pPr>
        <w:jc w:val="left"/>
        <w:rPr>
          <w:rFonts w:hint="default" w:ascii="Times New Roman" w:hAnsi="Times New Roman" w:eastAsia="仿宋_GB2312" w:cs="Times New Roman"/>
          <w:sz w:val="28"/>
          <w:szCs w:val="32"/>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pStyle w:val="9"/>
        <w:jc w:val="center"/>
        <w:rPr>
          <w:rFonts w:hint="default" w:ascii="Times New Roman" w:hAnsi="Times New Roman" w:eastAsia="方正小标宋_GBK" w:cs="Times New Roman"/>
          <w:sz w:val="84"/>
          <w:szCs w:val="84"/>
        </w:rPr>
      </w:pPr>
    </w:p>
    <w:p>
      <w:pPr>
        <w:pStyle w:val="9"/>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第二部分</w:t>
      </w:r>
    </w:p>
    <w:p>
      <w:pPr>
        <w:pStyle w:val="9"/>
        <w:jc w:val="center"/>
        <w:rPr>
          <w:rFonts w:hint="default" w:ascii="Times New Roman" w:hAnsi="Times New Roman" w:eastAsia="方正小标宋_GBK" w:cs="Times New Roman"/>
          <w:sz w:val="84"/>
          <w:szCs w:val="84"/>
        </w:rPr>
      </w:pPr>
    </w:p>
    <w:p>
      <w:pPr>
        <w:pStyle w:val="9"/>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部门决算表</w:t>
      </w:r>
      <w:r>
        <w:rPr>
          <w:rFonts w:hint="default" w:ascii="Times New Roman" w:hAnsi="Times New Roman" w:cs="Times New Roman"/>
          <w:sz w:val="72"/>
          <w:szCs w:val="72"/>
          <w:lang w:eastAsia="zh-CN"/>
        </w:rPr>
        <w:t>（</w:t>
      </w:r>
      <w:r>
        <w:rPr>
          <w:rFonts w:hint="default" w:ascii="Times New Roman" w:hAnsi="Times New Roman" w:cs="Times New Roman"/>
          <w:sz w:val="72"/>
          <w:szCs w:val="72"/>
          <w:lang w:val="en-US" w:eastAsia="zh-CN"/>
        </w:rPr>
        <w:t>见附表</w:t>
      </w:r>
      <w:r>
        <w:rPr>
          <w:rFonts w:hint="default" w:ascii="Times New Roman" w:hAnsi="Times New Roman" w:cs="Times New Roman"/>
          <w:sz w:val="72"/>
          <w:szCs w:val="72"/>
          <w:lang w:eastAsia="zh-CN"/>
        </w:rPr>
        <w:t>）</w:t>
      </w: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left"/>
        <w:rPr>
          <w:rFonts w:hint="default" w:ascii="Times New Roman" w:hAnsi="Times New Roman" w:cs="Times New Roman"/>
          <w:sz w:val="32"/>
          <w:szCs w:val="32"/>
        </w:rPr>
        <w:sectPr>
          <w:pgSz w:w="11906" w:h="16838"/>
          <w:pgMar w:top="720" w:right="720" w:bottom="720" w:left="720" w:header="851" w:footer="992" w:gutter="0"/>
          <w:cols w:space="425" w:num="1"/>
          <w:docGrid w:type="lines" w:linePitch="312" w:charSpace="0"/>
        </w:sectPr>
      </w:pPr>
    </w:p>
    <w:p>
      <w:pPr>
        <w:pStyle w:val="9"/>
        <w:rPr>
          <w:rFonts w:hint="default" w:ascii="Times New Roman" w:hAnsi="Times New Roman" w:cs="Times New Roman"/>
          <w:sz w:val="72"/>
          <w:szCs w:val="72"/>
        </w:rPr>
      </w:pPr>
    </w:p>
    <w:p>
      <w:pPr>
        <w:pStyle w:val="9"/>
        <w:rPr>
          <w:rFonts w:hint="default" w:ascii="Times New Roman" w:hAnsi="Times New Roman" w:cs="Times New Roman"/>
          <w:sz w:val="72"/>
          <w:szCs w:val="72"/>
        </w:rPr>
      </w:pPr>
    </w:p>
    <w:p>
      <w:pPr>
        <w:pStyle w:val="9"/>
        <w:rPr>
          <w:rFonts w:hint="default" w:ascii="Times New Roman" w:hAnsi="Times New Roman" w:cs="Times New Roman"/>
          <w:sz w:val="72"/>
          <w:szCs w:val="72"/>
        </w:rPr>
      </w:pPr>
    </w:p>
    <w:p>
      <w:pPr>
        <w:pStyle w:val="9"/>
        <w:rPr>
          <w:rFonts w:hint="default" w:ascii="Times New Roman" w:hAnsi="Times New Roman" w:cs="Times New Roman"/>
          <w:sz w:val="72"/>
          <w:szCs w:val="72"/>
        </w:rPr>
      </w:pPr>
    </w:p>
    <w:p>
      <w:pPr>
        <w:pStyle w:val="9"/>
        <w:jc w:val="center"/>
        <w:rPr>
          <w:rFonts w:hint="default" w:ascii="Times New Roman" w:hAnsi="Times New Roman" w:cs="Times New Roman"/>
          <w:sz w:val="72"/>
          <w:szCs w:val="72"/>
        </w:rPr>
      </w:pPr>
    </w:p>
    <w:p>
      <w:pPr>
        <w:pStyle w:val="9"/>
        <w:jc w:val="center"/>
        <w:rPr>
          <w:rFonts w:hint="default" w:ascii="Times New Roman" w:hAnsi="Times New Roman" w:eastAsia="方正小标宋_GBK" w:cs="Times New Roman"/>
          <w:sz w:val="72"/>
          <w:szCs w:val="72"/>
        </w:rPr>
      </w:pPr>
    </w:p>
    <w:p>
      <w:pPr>
        <w:pStyle w:val="9"/>
        <w:jc w:val="center"/>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第三部分</w:t>
      </w:r>
    </w:p>
    <w:p>
      <w:pPr>
        <w:pStyle w:val="9"/>
        <w:jc w:val="center"/>
        <w:rPr>
          <w:rFonts w:hint="default" w:ascii="Times New Roman" w:hAnsi="Times New Roman" w:eastAsia="方正小标宋_GBK" w:cs="Times New Roman"/>
          <w:sz w:val="70"/>
          <w:szCs w:val="70"/>
        </w:rPr>
      </w:pPr>
    </w:p>
    <w:p>
      <w:pPr>
        <w:pStyle w:val="9"/>
        <w:jc w:val="center"/>
        <w:rPr>
          <w:rFonts w:hint="default" w:ascii="Times New Roman" w:hAnsi="Times New Roman" w:eastAsia="方正小标宋_GBK" w:cs="Times New Roman"/>
          <w:sz w:val="70"/>
          <w:szCs w:val="70"/>
        </w:rPr>
      </w:pPr>
      <w:r>
        <w:rPr>
          <w:rFonts w:hint="default" w:ascii="Times New Roman" w:hAnsi="Times New Roman" w:eastAsia="方正小标宋_GBK" w:cs="Times New Roman"/>
          <w:sz w:val="70"/>
          <w:szCs w:val="70"/>
        </w:rPr>
        <w:t>202</w:t>
      </w:r>
      <w:r>
        <w:rPr>
          <w:rFonts w:hint="default" w:ascii="Times New Roman" w:hAnsi="Times New Roman" w:eastAsia="方正小标宋_GBK" w:cs="Times New Roman"/>
          <w:sz w:val="70"/>
          <w:szCs w:val="70"/>
          <w:lang w:val="en-US" w:eastAsia="zh-CN"/>
        </w:rPr>
        <w:t>2</w:t>
      </w:r>
      <w:r>
        <w:rPr>
          <w:rFonts w:hint="default" w:ascii="Times New Roman" w:hAnsi="Times New Roman" w:eastAsia="方正小标宋_GBK" w:cs="Times New Roman"/>
          <w:sz w:val="70"/>
          <w:szCs w:val="70"/>
        </w:rPr>
        <w:t>年度部门决算情况说明</w:t>
      </w:r>
    </w:p>
    <w:p>
      <w:pPr>
        <w:widowControl/>
        <w:jc w:val="left"/>
        <w:rPr>
          <w:rFonts w:hint="default" w:ascii="Times New Roman" w:hAnsi="Times New Roman" w:cs="Times New Roman" w:eastAsiaTheme="minorEastAsia"/>
          <w:sz w:val="32"/>
          <w:szCs w:val="32"/>
        </w:rPr>
      </w:pPr>
      <w:r>
        <w:rPr>
          <w:rFonts w:hint="default" w:ascii="Times New Roman" w:hAnsi="Times New Roman" w:eastAsia="方正小标宋_GBK" w:cs="Times New Roman"/>
          <w:sz w:val="70"/>
          <w:szCs w:val="70"/>
        </w:rPr>
        <w:br w:type="page"/>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一、收入支出决算总体情况说明</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年度收、支总计</w:t>
      </w:r>
      <w:r>
        <w:rPr>
          <w:rFonts w:hint="default" w:ascii="Times New Roman" w:hAnsi="Times New Roman" w:eastAsia="仿宋_GB2312" w:cs="Times New Roman"/>
          <w:sz w:val="32"/>
          <w:szCs w:val="32"/>
          <w:lang w:val="en-US" w:eastAsia="zh-CN"/>
        </w:rPr>
        <w:t>143.3</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lang w:val="en-US" w:eastAsia="zh-CN"/>
        </w:rPr>
        <w:t>33.08</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30.01</w:t>
      </w:r>
      <w:r>
        <w:rPr>
          <w:rFonts w:hint="default" w:ascii="Times New Roman" w:hAnsi="Times New Roman" w:eastAsia="仿宋_GB2312" w:cs="Times New Roman"/>
          <w:sz w:val="32"/>
          <w:szCs w:val="32"/>
        </w:rPr>
        <w:t>%，主要是因为</w:t>
      </w:r>
      <w:r>
        <w:rPr>
          <w:rFonts w:hint="default" w:ascii="Times New Roman" w:hAnsi="Times New Roman" w:eastAsia="仿宋_GB2312" w:cs="Times New Roman"/>
          <w:sz w:val="32"/>
          <w:szCs w:val="32"/>
          <w:lang w:eastAsia="zh-CN"/>
        </w:rPr>
        <w:t>财政拨款增加</w:t>
      </w:r>
      <w:r>
        <w:rPr>
          <w:rFonts w:hint="default" w:ascii="Times New Roman" w:hAnsi="Times New Roman" w:eastAsia="仿宋_GB2312" w:cs="Times New Roman"/>
          <w:sz w:val="32"/>
          <w:szCs w:val="32"/>
          <w:lang w:val="en-US" w:eastAsia="zh-CN"/>
        </w:rPr>
        <w:t>。</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二、收入决算情况说明</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年度收入合计</w:t>
      </w:r>
      <w:r>
        <w:rPr>
          <w:rFonts w:hint="default" w:ascii="Times New Roman" w:hAnsi="Times New Roman" w:eastAsia="仿宋_GB2312" w:cs="Times New Roman"/>
          <w:sz w:val="32"/>
          <w:szCs w:val="32"/>
          <w:lang w:val="en-US" w:eastAsia="zh-CN"/>
        </w:rPr>
        <w:t>143.3</w:t>
      </w:r>
      <w:r>
        <w:rPr>
          <w:rFonts w:hint="default" w:ascii="Times New Roman" w:hAnsi="Times New Roman" w:eastAsia="仿宋_GB2312" w:cs="Times New Roman"/>
          <w:sz w:val="32"/>
          <w:szCs w:val="32"/>
        </w:rPr>
        <w:t>万元，其中：财政拨款收入</w:t>
      </w:r>
      <w:r>
        <w:rPr>
          <w:rFonts w:hint="default" w:ascii="Times New Roman" w:hAnsi="Times New Roman" w:eastAsia="仿宋_GB2312" w:cs="Times New Roman"/>
          <w:sz w:val="32"/>
          <w:szCs w:val="32"/>
          <w:lang w:val="en-US" w:eastAsia="zh-CN"/>
        </w:rPr>
        <w:t>118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82.34</w:t>
      </w:r>
      <w:r>
        <w:rPr>
          <w:rFonts w:hint="default" w:ascii="Times New Roman" w:hAnsi="Times New Roman" w:eastAsia="仿宋_GB2312" w:cs="Times New Roman"/>
          <w:sz w:val="32"/>
          <w:szCs w:val="32"/>
        </w:rPr>
        <w:t>%；上级补助收入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%；事业收入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1.98</w:t>
      </w:r>
      <w:r>
        <w:rPr>
          <w:rFonts w:hint="default" w:ascii="Times New Roman" w:hAnsi="Times New Roman" w:eastAsia="仿宋_GB2312" w:cs="Times New Roman"/>
          <w:sz w:val="32"/>
          <w:szCs w:val="32"/>
        </w:rPr>
        <w:t>%；经营收入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%；附属单位上缴收入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%；其他收入</w:t>
      </w:r>
      <w:r>
        <w:rPr>
          <w:rFonts w:hint="default" w:ascii="Times New Roman" w:hAnsi="Times New Roman" w:eastAsia="仿宋_GB2312" w:cs="Times New Roman"/>
          <w:sz w:val="32"/>
          <w:szCs w:val="32"/>
          <w:lang w:val="en-US" w:eastAsia="zh-CN"/>
        </w:rPr>
        <w:t>25.3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17.66</w:t>
      </w:r>
      <w:r>
        <w:rPr>
          <w:rFonts w:hint="default" w:ascii="Times New Roman" w:hAnsi="Times New Roman" w:eastAsia="仿宋_GB2312" w:cs="Times New Roman"/>
          <w:sz w:val="32"/>
          <w:szCs w:val="32"/>
        </w:rPr>
        <w:t>%。</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三、支出决算情况说明</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年度支出合计</w:t>
      </w:r>
      <w:r>
        <w:rPr>
          <w:rFonts w:hint="default" w:ascii="Times New Roman" w:hAnsi="Times New Roman" w:eastAsia="仿宋_GB2312" w:cs="Times New Roman"/>
          <w:sz w:val="32"/>
          <w:szCs w:val="32"/>
          <w:lang w:val="en-US" w:eastAsia="zh-CN"/>
        </w:rPr>
        <w:t>145.57</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81.97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56.32</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63.59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43.68</w:t>
      </w: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%；经营支出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四、财政拨款收入支出决算总体情况说明</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年度财政拨款收、支总计</w:t>
      </w:r>
      <w:r>
        <w:rPr>
          <w:rFonts w:hint="default" w:ascii="Times New Roman" w:hAnsi="Times New Roman" w:eastAsia="仿宋_GB2312" w:cs="Times New Roman"/>
          <w:sz w:val="32"/>
          <w:szCs w:val="32"/>
          <w:lang w:val="en-US" w:eastAsia="zh-CN"/>
        </w:rPr>
        <w:t>118</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lang w:val="en-US" w:eastAsia="zh-CN"/>
        </w:rPr>
        <w:t>10.58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lang w:val="en-US" w:eastAsia="zh-CN"/>
        </w:rPr>
        <w:t>9.85</w:t>
      </w:r>
      <w:r>
        <w:rPr>
          <w:rFonts w:hint="default" w:ascii="Times New Roman" w:hAnsi="Times New Roman" w:eastAsia="仿宋_GB2312" w:cs="Times New Roman"/>
          <w:sz w:val="32"/>
          <w:szCs w:val="32"/>
        </w:rPr>
        <w:t>%，主要是因为</w:t>
      </w:r>
      <w:r>
        <w:rPr>
          <w:rFonts w:hint="default" w:ascii="Times New Roman" w:hAnsi="Times New Roman" w:eastAsia="仿宋_GB2312" w:cs="Times New Roman"/>
          <w:sz w:val="32"/>
          <w:szCs w:val="32"/>
          <w:lang w:eastAsia="zh-CN"/>
        </w:rPr>
        <w:t>财政拨款增加</w:t>
      </w:r>
      <w:r>
        <w:rPr>
          <w:rFonts w:hint="default" w:ascii="Times New Roman" w:hAnsi="Times New Roman" w:eastAsia="仿宋_GB2312" w:cs="Times New Roman"/>
          <w:sz w:val="32"/>
          <w:szCs w:val="32"/>
          <w:lang w:val="en-US" w:eastAsia="zh-CN"/>
        </w:rPr>
        <w:t>。</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五、一般公共预算财政拨款支出决算情况说明</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（一）财政拨款支出决算总体情况</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年度财政拨款支出</w:t>
      </w:r>
      <w:r>
        <w:rPr>
          <w:rFonts w:hint="default" w:ascii="Times New Roman" w:hAnsi="Times New Roman" w:eastAsia="仿宋_GB2312" w:cs="Times New Roman"/>
          <w:sz w:val="32"/>
          <w:szCs w:val="32"/>
          <w:lang w:val="en-US" w:eastAsia="zh-CN"/>
        </w:rPr>
        <w:t>118</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lang w:val="en-US" w:eastAsia="zh-CN"/>
        </w:rPr>
        <w:t>81.06</w:t>
      </w:r>
      <w:r>
        <w:rPr>
          <w:rFonts w:hint="default" w:ascii="Times New Roman" w:hAnsi="Times New Roman" w:eastAsia="仿宋_GB2312" w:cs="Times New Roman"/>
          <w:sz w:val="32"/>
          <w:szCs w:val="32"/>
        </w:rPr>
        <w:t>%，与上年相比，财政拨款支出增加</w:t>
      </w:r>
      <w:r>
        <w:rPr>
          <w:rFonts w:hint="default" w:ascii="Times New Roman" w:hAnsi="Times New Roman" w:eastAsia="仿宋_GB2312" w:cs="Times New Roman"/>
          <w:sz w:val="32"/>
          <w:szCs w:val="32"/>
          <w:lang w:val="en-US" w:eastAsia="zh-CN"/>
        </w:rPr>
        <w:t>10.58</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9.85</w:t>
      </w:r>
      <w:r>
        <w:rPr>
          <w:rFonts w:hint="default" w:ascii="Times New Roman" w:hAnsi="Times New Roman" w:eastAsia="仿宋_GB2312" w:cs="Times New Roman"/>
          <w:sz w:val="32"/>
          <w:szCs w:val="32"/>
        </w:rPr>
        <w:t>%，主要是因为财政拨款增加</w:t>
      </w:r>
      <w:r>
        <w:rPr>
          <w:rFonts w:hint="default" w:ascii="Times New Roman" w:hAnsi="Times New Roman" w:eastAsia="仿宋_GB2312" w:cs="Times New Roman"/>
          <w:sz w:val="32"/>
          <w:szCs w:val="32"/>
          <w:lang w:val="en-US" w:eastAsia="zh-CN"/>
        </w:rPr>
        <w:t>。</w:t>
      </w:r>
    </w:p>
    <w:p>
      <w:pPr>
        <w:pStyle w:val="9"/>
        <w:keepNext w:val="0"/>
        <w:keepLines w:val="0"/>
        <w:pageBreakBefore w:val="0"/>
        <w:widowControl w:val="0"/>
        <w:kinsoku/>
        <w:wordWrap/>
        <w:overflowPunct/>
        <w:topLinePunct w:val="0"/>
        <w:bidi w:val="0"/>
        <w:adjustRightInd w:val="0"/>
        <w:snapToGrid w:val="0"/>
        <w:spacing w:line="560" w:lineRule="exact"/>
        <w:ind w:firstLine="480" w:firstLineChars="150"/>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（二）财政拨款支出决算结构情况</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年度财政拨款支出</w:t>
      </w:r>
      <w:r>
        <w:rPr>
          <w:rFonts w:hint="default" w:ascii="Times New Roman" w:hAnsi="Times New Roman" w:eastAsia="仿宋_GB2312" w:cs="Times New Roman"/>
          <w:sz w:val="32"/>
          <w:szCs w:val="32"/>
          <w:lang w:val="en-US" w:eastAsia="zh-CN"/>
        </w:rPr>
        <w:t>118</w:t>
      </w:r>
      <w:r>
        <w:rPr>
          <w:rFonts w:hint="default" w:ascii="Times New Roman" w:hAnsi="Times New Roman" w:eastAsia="仿宋_GB2312" w:cs="Times New Roman"/>
          <w:sz w:val="32"/>
          <w:szCs w:val="32"/>
        </w:rPr>
        <w:t>万元，主要用于以下方面：</w:t>
      </w:r>
      <w:r>
        <w:rPr>
          <w:rFonts w:hint="default" w:ascii="Times New Roman" w:hAnsi="Times New Roman" w:eastAsia="仿宋_GB2312" w:cs="Times New Roman"/>
          <w:sz w:val="32"/>
          <w:szCs w:val="32"/>
          <w:lang w:val="en-US" w:eastAsia="zh-CN"/>
        </w:rPr>
        <w:t>一般公共服务</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val="en-US" w:eastAsia="zh-CN"/>
        </w:rPr>
        <w:t>114.35</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96.91</w:t>
      </w:r>
      <w:r>
        <w:rPr>
          <w:rFonts w:hint="default" w:ascii="Times New Roman" w:hAnsi="Times New Roman" w:eastAsia="仿宋_GB2312" w:cs="Times New Roman"/>
          <w:sz w:val="32"/>
          <w:szCs w:val="32"/>
        </w:rPr>
        <w:t>%；住房保障支出</w:t>
      </w:r>
      <w:r>
        <w:rPr>
          <w:rFonts w:hint="default" w:ascii="Times New Roman" w:hAnsi="Times New Roman" w:eastAsia="仿宋_GB2312" w:cs="Times New Roman"/>
          <w:sz w:val="32"/>
          <w:szCs w:val="32"/>
          <w:lang w:val="en-US" w:eastAsia="zh-CN"/>
        </w:rPr>
        <w:t>3.65</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3.09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Style w:val="9"/>
        <w:keepNext w:val="0"/>
        <w:keepLines w:val="0"/>
        <w:pageBreakBefore w:val="0"/>
        <w:widowControl w:val="0"/>
        <w:kinsoku/>
        <w:wordWrap/>
        <w:overflowPunct/>
        <w:topLinePunct w:val="0"/>
        <w:bidi w:val="0"/>
        <w:adjustRightInd w:val="0"/>
        <w:snapToGrid w:val="0"/>
        <w:spacing w:line="560" w:lineRule="exact"/>
        <w:ind w:firstLine="800" w:firstLineChars="250"/>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（三）财政拨款支出决算具体情况</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年度财政拨款支出年初预算数为</w:t>
      </w:r>
      <w:r>
        <w:rPr>
          <w:rFonts w:hint="default" w:ascii="Times New Roman" w:hAnsi="Times New Roman" w:eastAsia="仿宋_GB2312" w:cs="Times New Roman"/>
          <w:sz w:val="32"/>
          <w:szCs w:val="32"/>
          <w:lang w:val="en-US" w:eastAsia="zh-CN"/>
        </w:rPr>
        <w:t>102.59</w:t>
      </w:r>
      <w:r>
        <w:rPr>
          <w:rFonts w:hint="default" w:ascii="Times New Roman" w:hAnsi="Times New Roman" w:eastAsia="仿宋_GB2312" w:cs="Times New Roman"/>
          <w:sz w:val="32"/>
          <w:szCs w:val="32"/>
        </w:rPr>
        <w:t>万元，支出决算数为</w:t>
      </w:r>
      <w:r>
        <w:rPr>
          <w:rFonts w:hint="default" w:ascii="Times New Roman" w:hAnsi="Times New Roman" w:eastAsia="仿宋_GB2312" w:cs="Times New Roman"/>
          <w:sz w:val="32"/>
          <w:szCs w:val="32"/>
          <w:lang w:val="en-US" w:eastAsia="zh-CN"/>
        </w:rPr>
        <w:t>118</w:t>
      </w:r>
      <w:r>
        <w:rPr>
          <w:rFonts w:hint="default" w:ascii="Times New Roman" w:hAnsi="Times New Roman" w:eastAsia="仿宋_GB2312" w:cs="Times New Roman"/>
          <w:sz w:val="32"/>
          <w:szCs w:val="32"/>
        </w:rPr>
        <w:t>万元，完成年初预算的</w:t>
      </w:r>
      <w:r>
        <w:rPr>
          <w:rFonts w:hint="default" w:ascii="Times New Roman" w:hAnsi="Times New Roman" w:eastAsia="仿宋_GB2312" w:cs="Times New Roman"/>
          <w:sz w:val="32"/>
          <w:szCs w:val="32"/>
          <w:lang w:val="en-US" w:eastAsia="zh-CN"/>
        </w:rPr>
        <w:t>115.02</w:t>
      </w:r>
      <w:r>
        <w:rPr>
          <w:rFonts w:hint="default" w:ascii="Times New Roman" w:hAnsi="Times New Roman" w:eastAsia="仿宋_GB2312" w:cs="Times New Roman"/>
          <w:sz w:val="32"/>
          <w:szCs w:val="32"/>
        </w:rPr>
        <w:t>%，其中：</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一般公共服务</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w:t>
      </w:r>
      <w:r>
        <w:rPr>
          <w:rFonts w:hint="default" w:ascii="Times New Roman" w:hAnsi="Times New Roman" w:eastAsia="仿宋_GB2312" w:cs="Times New Roman"/>
          <w:sz w:val="32"/>
          <w:szCs w:val="32"/>
          <w:lang w:val="en-US" w:eastAsia="zh-CN"/>
        </w:rPr>
        <w:t>99.62</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114.35</w:t>
      </w:r>
      <w:r>
        <w:rPr>
          <w:rFonts w:hint="default" w:ascii="Times New Roman" w:hAnsi="Times New Roman" w:eastAsia="仿宋_GB2312" w:cs="Times New Roman"/>
          <w:sz w:val="32"/>
          <w:szCs w:val="32"/>
        </w:rPr>
        <w:t>万元，决算数大于年初预算数的主要原因是：财政拨款增加。</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2、住房保障</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w:t>
      </w:r>
      <w:r>
        <w:rPr>
          <w:rFonts w:hint="default" w:ascii="Times New Roman" w:hAnsi="Times New Roman" w:eastAsia="仿宋_GB2312" w:cs="Times New Roman"/>
          <w:sz w:val="32"/>
          <w:szCs w:val="32"/>
          <w:lang w:val="en-US" w:eastAsia="zh-CN"/>
        </w:rPr>
        <w:t>3.97</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3.65</w:t>
      </w:r>
      <w:r>
        <w:rPr>
          <w:rFonts w:hint="default" w:ascii="Times New Roman" w:hAnsi="Times New Roman" w:eastAsia="仿宋_GB2312" w:cs="Times New Roman"/>
          <w:sz w:val="32"/>
          <w:szCs w:val="32"/>
        </w:rPr>
        <w:t>万元。决算数</w:t>
      </w:r>
      <w:r>
        <w:rPr>
          <w:rFonts w:hint="default" w:ascii="Times New Roman" w:hAnsi="Times New Roman" w:eastAsia="仿宋_GB2312" w:cs="Times New Roman"/>
          <w:sz w:val="32"/>
          <w:szCs w:val="32"/>
          <w:lang w:val="en-US" w:eastAsia="zh-CN"/>
        </w:rPr>
        <w:t>小</w:t>
      </w:r>
      <w:r>
        <w:rPr>
          <w:rFonts w:hint="default" w:ascii="Times New Roman" w:hAnsi="Times New Roman" w:eastAsia="仿宋_GB2312" w:cs="Times New Roman"/>
          <w:sz w:val="32"/>
          <w:szCs w:val="32"/>
        </w:rPr>
        <w:t>于年初预算数的主要原因是：</w:t>
      </w:r>
      <w:r>
        <w:rPr>
          <w:rFonts w:hint="default" w:ascii="Times New Roman" w:hAnsi="Times New Roman" w:eastAsia="仿宋_GB2312" w:cs="Times New Roman"/>
          <w:sz w:val="32"/>
          <w:szCs w:val="32"/>
          <w:lang w:eastAsia="zh-CN"/>
        </w:rPr>
        <w:t>人员变动</w:t>
      </w:r>
      <w:r>
        <w:rPr>
          <w:rFonts w:hint="default" w:ascii="Times New Roman" w:hAnsi="Times New Roman" w:eastAsia="仿宋_GB2312" w:cs="Times New Roman"/>
          <w:sz w:val="32"/>
          <w:szCs w:val="32"/>
        </w:rPr>
        <w:t>。</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年度财政拨款基本支出</w:t>
      </w:r>
      <w:r>
        <w:rPr>
          <w:rFonts w:hint="default" w:ascii="Times New Roman" w:hAnsi="Times New Roman" w:eastAsia="仿宋_GB2312" w:cs="Times New Roman"/>
          <w:sz w:val="32"/>
          <w:szCs w:val="32"/>
          <w:lang w:val="en-US" w:eastAsia="zh-CN"/>
        </w:rPr>
        <w:t>81.23</w:t>
      </w:r>
      <w:r>
        <w:rPr>
          <w:rFonts w:hint="default" w:ascii="Times New Roman" w:hAnsi="Times New Roman" w:eastAsia="仿宋_GB2312" w:cs="Times New Roman"/>
          <w:sz w:val="32"/>
          <w:szCs w:val="32"/>
        </w:rPr>
        <w:t>万元，其中：</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人员经费</w:t>
      </w:r>
      <w:r>
        <w:rPr>
          <w:rFonts w:hint="default" w:ascii="Times New Roman" w:hAnsi="Times New Roman" w:eastAsia="仿宋_GB2312" w:cs="Times New Roman"/>
          <w:sz w:val="32"/>
          <w:szCs w:val="32"/>
          <w:lang w:val="en-US" w:eastAsia="zh-CN"/>
        </w:rPr>
        <w:t>63.37</w:t>
      </w:r>
      <w:r>
        <w:rPr>
          <w:rFonts w:hint="default" w:ascii="Times New Roman" w:hAnsi="Times New Roman" w:eastAsia="仿宋_GB2312" w:cs="Times New Roman"/>
          <w:sz w:val="32"/>
          <w:szCs w:val="32"/>
        </w:rPr>
        <w:t>万元，占基本支出的</w:t>
      </w:r>
      <w:r>
        <w:rPr>
          <w:rFonts w:hint="default" w:ascii="Times New Roman" w:hAnsi="Times New Roman" w:eastAsia="仿宋_GB2312" w:cs="Times New Roman"/>
          <w:sz w:val="32"/>
          <w:szCs w:val="32"/>
          <w:lang w:val="en-US" w:eastAsia="zh-CN"/>
        </w:rPr>
        <w:t>78.01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主要包括基本工资、津贴补贴、奖金、伙食补助费、机关事业单位基本养老保险缴费、职工基本医疗保险缴费、其他社会保障缴费、住房公积金、医疗费、其他工资福利支出、生活补助、奖励金</w:t>
      </w:r>
      <w:r>
        <w:rPr>
          <w:rFonts w:hint="default" w:ascii="Times New Roman" w:hAnsi="Times New Roman" w:eastAsia="仿宋_GB2312" w:cs="Times New Roman"/>
          <w:sz w:val="32"/>
          <w:szCs w:val="32"/>
          <w:lang w:eastAsia="zh-CN"/>
        </w:rPr>
        <w:t>。</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公用经费</w:t>
      </w:r>
      <w:r>
        <w:rPr>
          <w:rFonts w:hint="default" w:ascii="Times New Roman" w:hAnsi="Times New Roman" w:eastAsia="仿宋_GB2312" w:cs="Times New Roman"/>
          <w:sz w:val="32"/>
          <w:szCs w:val="32"/>
          <w:lang w:val="en-US" w:eastAsia="zh-CN"/>
        </w:rPr>
        <w:t>17.86</w:t>
      </w:r>
      <w:r>
        <w:rPr>
          <w:rFonts w:hint="default" w:ascii="Times New Roman" w:hAnsi="Times New Roman" w:eastAsia="仿宋_GB2312" w:cs="Times New Roman"/>
          <w:sz w:val="32"/>
          <w:szCs w:val="32"/>
        </w:rPr>
        <w:t>万元，占基本支出的</w:t>
      </w:r>
      <w:r>
        <w:rPr>
          <w:rFonts w:hint="default" w:ascii="Times New Roman" w:hAnsi="Times New Roman" w:eastAsia="仿宋_GB2312" w:cs="Times New Roman"/>
          <w:sz w:val="32"/>
          <w:szCs w:val="32"/>
          <w:lang w:val="en-US" w:eastAsia="zh-CN"/>
        </w:rPr>
        <w:t>21.99</w:t>
      </w:r>
      <w:r>
        <w:rPr>
          <w:rFonts w:hint="default" w:ascii="Times New Roman" w:hAnsi="Times New Roman" w:eastAsia="仿宋_GB2312" w:cs="Times New Roman"/>
          <w:sz w:val="32"/>
          <w:szCs w:val="32"/>
        </w:rPr>
        <w:t>%，主要包括办公费、印刷费、水费、电费、邮电费、差旅费、维修（护）费、</w:t>
      </w:r>
      <w:r>
        <w:rPr>
          <w:rFonts w:hint="default" w:ascii="Times New Roman" w:hAnsi="Times New Roman" w:eastAsia="仿宋_GB2312" w:cs="Times New Roman"/>
          <w:color w:val="000000"/>
          <w:kern w:val="0"/>
          <w:sz w:val="32"/>
          <w:szCs w:val="32"/>
          <w:lang w:val="en-US" w:eastAsia="zh-CN" w:bidi="ar-SA"/>
        </w:rPr>
        <w:t>培训费</w:t>
      </w:r>
      <w:r>
        <w:rPr>
          <w:rFonts w:hint="default" w:ascii="Times New Roman" w:hAnsi="Times New Roman" w:eastAsia="仿宋_GB2312" w:cs="Times New Roman"/>
          <w:sz w:val="32"/>
          <w:szCs w:val="32"/>
        </w:rPr>
        <w:t>、劳务费、工会经费、其他交通费用、其他商品和服务支出。</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七、财政拨款三公经费支出决算情况说明</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楷体" w:cs="Times New Roman"/>
          <w:b/>
          <w:bCs w:val="0"/>
          <w:sz w:val="32"/>
          <w:szCs w:val="32"/>
        </w:rPr>
      </w:pPr>
      <w:r>
        <w:rPr>
          <w:rFonts w:hint="default" w:ascii="Times New Roman" w:hAnsi="Times New Roman" w:eastAsia="楷体" w:cs="Times New Roman"/>
          <w:b/>
          <w:bCs w:val="0"/>
          <w:sz w:val="32"/>
          <w:szCs w:val="32"/>
        </w:rPr>
        <w:t>（一）“三公”经费财政拨款支出决算总体情况说明</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“三公”经费财政拨款支出预算为</w:t>
      </w:r>
      <w:r>
        <w:rPr>
          <w:rFonts w:hint="default" w:ascii="Times New Roman" w:hAnsi="Times New Roman" w:eastAsia="仿宋_GB2312" w:cs="Times New Roman"/>
          <w:sz w:val="32"/>
          <w:szCs w:val="32"/>
          <w:lang w:val="en-US" w:eastAsia="zh-CN"/>
        </w:rPr>
        <w:t>0.4</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0.38</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rPr>
        <w:t>%，其中：</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因公出国（境）费支出预算为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%，与上年相比减少（增加）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万元，减少（增长）</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公务接待费支出预算为</w:t>
      </w:r>
      <w:r>
        <w:rPr>
          <w:rFonts w:hint="default" w:ascii="Times New Roman" w:hAnsi="Times New Roman" w:eastAsia="仿宋_GB2312" w:cs="Times New Roman"/>
          <w:sz w:val="32"/>
          <w:szCs w:val="32"/>
          <w:lang w:val="en-US" w:eastAsia="zh-CN"/>
        </w:rPr>
        <w:t>0.4</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0.38</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rPr>
        <w:t>%，与上年相比</w:t>
      </w:r>
      <w:r>
        <w:rPr>
          <w:rFonts w:hint="default" w:ascii="Times New Roman" w:hAnsi="Times New Roman" w:eastAsia="仿宋_GB2312" w:cs="Times New Roman"/>
          <w:sz w:val="32"/>
          <w:szCs w:val="32"/>
          <w:lang w:val="en-US" w:eastAsia="zh-CN"/>
        </w:rPr>
        <w:t>持平</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val="en-US" w:eastAsia="zh-CN"/>
        </w:rPr>
        <w:t>有效控制了接待开支</w:t>
      </w:r>
      <w:r>
        <w:rPr>
          <w:rFonts w:hint="default" w:ascii="Times New Roman" w:hAnsi="Times New Roman" w:eastAsia="仿宋_GB2312" w:cs="Times New Roman"/>
          <w:sz w:val="32"/>
          <w:szCs w:val="32"/>
        </w:rPr>
        <w:t>。</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公务用车购置费支出预算为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%，与上年相比减少（增加）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万元，减少（增长）</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%，与上年相比减少（增加）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万元，减少（增长）</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楷体" w:cs="Times New Roman"/>
          <w:b/>
          <w:bCs w:val="0"/>
          <w:sz w:val="32"/>
          <w:szCs w:val="32"/>
        </w:rPr>
      </w:pPr>
      <w:r>
        <w:rPr>
          <w:rFonts w:hint="default" w:ascii="Times New Roman" w:hAnsi="Times New Roman" w:eastAsia="楷体" w:cs="Times New Roman"/>
          <w:b/>
          <w:bCs w:val="0"/>
          <w:sz w:val="32"/>
          <w:szCs w:val="32"/>
        </w:rPr>
        <w:t>（二）“三公”经费财政拨款支出决算具体情况说明</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年度“三公”经费财政拨款支出决算中，公务接待费支出决算</w:t>
      </w:r>
      <w:r>
        <w:rPr>
          <w:rFonts w:hint="default"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公务用车购置费及运行维护费支出决算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%。其中：</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因公出国（境）费支出决算为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个，累计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w:t>
      </w:r>
      <w:r>
        <w:rPr>
          <w:rFonts w:hint="default" w:ascii="Times New Roman" w:hAnsi="Times New Roman" w:eastAsia="仿宋_GB2312" w:cs="Times New Roman"/>
          <w:sz w:val="32"/>
          <w:szCs w:val="32"/>
          <w:lang w:eastAsia="zh-CN"/>
        </w:rPr>
        <w:t>。</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2、公务接待费支出决算为</w:t>
      </w:r>
      <w:r>
        <w:rPr>
          <w:rFonts w:hint="default" w:ascii="Times New Roman" w:hAnsi="Times New Roman" w:eastAsia="仿宋_GB2312" w:cs="Times New Roman"/>
          <w:sz w:val="32"/>
          <w:szCs w:val="32"/>
          <w:lang w:val="en-US" w:eastAsia="zh-CN"/>
        </w:rPr>
        <w:t>0.38</w:t>
      </w:r>
      <w:r>
        <w:rPr>
          <w:rFonts w:hint="default" w:ascii="Times New Roman" w:hAnsi="Times New Roman" w:eastAsia="仿宋_GB2312" w:cs="Times New Roman"/>
          <w:sz w:val="32"/>
          <w:szCs w:val="32"/>
        </w:rPr>
        <w:t>万元，全年共接待来访团组</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个、来宾</w:t>
      </w:r>
      <w:r>
        <w:rPr>
          <w:rFonts w:hint="default"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人次，主要是</w:t>
      </w:r>
      <w:r>
        <w:rPr>
          <w:rFonts w:hint="default" w:ascii="Times New Roman" w:hAnsi="Times New Roman" w:eastAsia="仿宋_GB2312" w:cs="Times New Roman"/>
          <w:sz w:val="32"/>
          <w:szCs w:val="32"/>
          <w:lang w:eastAsia="zh-CN"/>
        </w:rPr>
        <w:t>新闻媒体采访、区县网信办交流</w:t>
      </w:r>
      <w:r>
        <w:rPr>
          <w:rFonts w:hint="default" w:ascii="Times New Roman" w:hAnsi="Times New Roman" w:eastAsia="仿宋_GB2312" w:cs="Times New Roman"/>
          <w:sz w:val="32"/>
          <w:szCs w:val="32"/>
        </w:rPr>
        <w:t>的接待支出。</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3、公务用车购置费及运行维护费支出决算为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万元，其中：公务用车购置费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万元，更新公务用车</w:t>
      </w:r>
      <w:r>
        <w:rPr>
          <w:rFonts w:hint="default" w:ascii="Times New Roman" w:hAnsi="Times New Roman" w:eastAsia="仿宋_GB2312" w:cs="Times New Roman"/>
          <w:sz w:val="32"/>
          <w:szCs w:val="32"/>
          <w:lang w:val="en-US" w:eastAsia="zh-CN"/>
        </w:rPr>
        <w:t>0辆</w:t>
      </w:r>
      <w:r>
        <w:rPr>
          <w:rFonts w:hint="default" w:ascii="Times New Roman" w:hAnsi="Times New Roman" w:eastAsia="仿宋_GB2312" w:cs="Times New Roman"/>
          <w:sz w:val="32"/>
          <w:szCs w:val="32"/>
        </w:rPr>
        <w:t>。公务用车运行维护费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截至2022年</w:t>
      </w:r>
      <w:r>
        <w:rPr>
          <w:rFonts w:hint="default" w:ascii="Times New Roman" w:hAnsi="Times New Roman" w:eastAsia="仿宋_GB2312" w:cs="Times New Roman"/>
          <w:sz w:val="32"/>
          <w:szCs w:val="32"/>
        </w:rPr>
        <w:t>12月31日，我单位开支财政拨款的公务用车保有量为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八、政府性基金预算收入支出决算情况</w:t>
      </w:r>
    </w:p>
    <w:p>
      <w:pPr>
        <w:pStyle w:val="9"/>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年度政府性基金预算财政拨款收入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万元；年初结转和结余</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万元；年末结转和结余</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本单位无政府性基金收支。</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九、关于机关运行经费支出说明</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年度机关运行经费支出</w:t>
      </w:r>
      <w:r>
        <w:rPr>
          <w:rFonts w:hint="default" w:ascii="Times New Roman" w:hAnsi="Times New Roman" w:eastAsia="仿宋_GB2312" w:cs="Times New Roman"/>
          <w:sz w:val="32"/>
          <w:szCs w:val="32"/>
          <w:lang w:val="en-US" w:eastAsia="zh-CN"/>
        </w:rPr>
        <w:t>17.86</w:t>
      </w:r>
      <w:r>
        <w:rPr>
          <w:rFonts w:hint="default" w:ascii="Times New Roman" w:hAnsi="Times New Roman" w:eastAsia="仿宋_GB2312" w:cs="Times New Roman"/>
          <w:sz w:val="32"/>
          <w:szCs w:val="32"/>
        </w:rPr>
        <w:t>万元，比上年决算数</w:t>
      </w:r>
      <w:r>
        <w:rPr>
          <w:rFonts w:hint="default" w:ascii="Times New Roman" w:hAnsi="Times New Roman" w:eastAsia="仿宋_GB2312" w:cs="Times New Roman"/>
          <w:sz w:val="32"/>
          <w:szCs w:val="32"/>
          <w:lang w:val="en-US" w:eastAsia="zh-CN"/>
        </w:rPr>
        <w:t>增加0.79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增加4.6</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工会经费增加</w:t>
      </w:r>
      <w:r>
        <w:rPr>
          <w:rFonts w:hint="default" w:ascii="Times New Roman" w:hAnsi="Times New Roman" w:eastAsia="仿宋_GB2312" w:cs="Times New Roman"/>
          <w:sz w:val="32"/>
          <w:szCs w:val="32"/>
        </w:rPr>
        <w:t>。</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十、一般性支出情况说明</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2022年本部门开支会议费0.65万元，人数0人，内容为文化旅游节 节会筹备会议；开支培训费0万元，用于，人数0人。</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十一、关于政府采购支出说明</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年度政府采购支出总额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万元。授予中小企业合同金额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%，其中：授予小微企业合同金额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%。货物采购授予中小企业合同金额占货物支出金额的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%，工程采购授予中小企业合同金额占工程支出金额的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%，服务采购授予中小企业合同金额占服务支出金额的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十二、关于国有资产占用情况说明</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年12月31日，本单位共有车辆</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辆，其中，主要领导干部用车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辆，机要通信用车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辆、应急保障用车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单位价值50万元以上通用设备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台（套）；单位价值100万元以上专用设备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十三、关于</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黑体" w:cs="Times New Roman"/>
          <w:b w:val="0"/>
          <w:bCs/>
          <w:sz w:val="32"/>
          <w:szCs w:val="32"/>
        </w:rPr>
        <w:t>年度预算绩效情况的说明</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eastAsia="zh-CN"/>
        </w:rPr>
        <w:t>（一）</w:t>
      </w:r>
      <w:r>
        <w:rPr>
          <w:rFonts w:hint="default" w:ascii="Times New Roman" w:hAnsi="Times New Roman" w:eastAsia="楷体" w:cs="Times New Roman"/>
          <w:b/>
          <w:bCs/>
          <w:sz w:val="32"/>
          <w:szCs w:val="32"/>
        </w:rPr>
        <w:t>部门整体支出绩效情况</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2022年度支出合计145.57万元，</w:t>
      </w:r>
      <w:r>
        <w:rPr>
          <w:rFonts w:hint="default" w:ascii="Times New Roman" w:hAnsi="Times New Roman" w:eastAsia="仿宋_GB2312" w:cs="Times New Roman"/>
          <w:color w:val="000000"/>
          <w:kern w:val="0"/>
          <w:sz w:val="32"/>
          <w:szCs w:val="32"/>
          <w:lang w:val="zh-CN" w:eastAsia="zh-CN" w:bidi="ar-SA"/>
        </w:rPr>
        <w:t>主要用于以下方面：</w:t>
      </w:r>
      <w:r>
        <w:rPr>
          <w:rFonts w:hint="default" w:ascii="Times New Roman" w:hAnsi="Times New Roman" w:eastAsia="仿宋_GB2312" w:cs="Times New Roman"/>
          <w:color w:val="000000"/>
          <w:kern w:val="0"/>
          <w:sz w:val="32"/>
          <w:szCs w:val="32"/>
          <w:lang w:val="en-US" w:eastAsia="zh-CN" w:bidi="ar-SA"/>
        </w:rPr>
        <w:t>工资福利支出63.48万元，商品和服务支出18.05万元，</w:t>
      </w:r>
      <w:r>
        <w:rPr>
          <w:rFonts w:hint="default" w:ascii="Times New Roman" w:hAnsi="Times New Roman" w:eastAsia="仿宋_GB2312" w:cs="Times New Roman"/>
          <w:color w:val="000000"/>
          <w:kern w:val="0"/>
          <w:sz w:val="32"/>
          <w:szCs w:val="32"/>
          <w:lang w:val="zh-CN" w:eastAsia="zh-CN" w:bidi="ar-SA"/>
        </w:rPr>
        <w:t>全市网络舆情处置经费9万元；全市网络安全管理与执法经费6万元；网络新媒体推广合作专项经费5万元；网评员培训经费5万元；全市网络宣传网络舆情引导专项经费6万元；网络舆情监测管理平台维护项目支出5万元；全市网络内容管理项目支出15万元。</w:t>
      </w:r>
      <w:r>
        <w:rPr>
          <w:rFonts w:hint="default" w:ascii="Times New Roman" w:hAnsi="Times New Roman" w:eastAsia="仿宋_GB2312" w:cs="Times New Roman"/>
          <w:color w:val="000000"/>
          <w:kern w:val="0"/>
          <w:sz w:val="32"/>
          <w:szCs w:val="32"/>
          <w:lang w:val="zh-CN" w:eastAsia="zh-CN" w:bidi="ar-SA"/>
        </w:rPr>
        <w:t xml:space="preserve">  </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eastAsia="zh-CN"/>
        </w:rPr>
        <w:t>（二）</w:t>
      </w:r>
      <w:r>
        <w:rPr>
          <w:rFonts w:hint="default" w:ascii="Times New Roman" w:hAnsi="Times New Roman" w:eastAsia="楷体" w:cs="Times New Roman"/>
          <w:b/>
          <w:bCs/>
          <w:sz w:val="32"/>
          <w:szCs w:val="32"/>
        </w:rPr>
        <w:t>存在的问题及原因分析</w:t>
      </w:r>
    </w:p>
    <w:p>
      <w:pPr>
        <w:pStyle w:val="9"/>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财政收入规模单一，收入结构不合理，网络安全和信息工作发展所需财政支出压力大，收支矛盾还比较突出，财政管理还不很规范，财经纪律还有待进一步加强。财务工作人员更换频繁且无专业财务人员，项目管理能力有限，专业水平较低，专业技术知识有待提高，管理经验不足。资金使用效益有待进一步提高，绩效目标设立不够明确、细化和量化，实际工作完成效益不高。上级主管部门指导作用发挥不够，各工作部门之间，缺乏有效沟通与配合，统一组织协调工作有待加强。</w:t>
      </w:r>
    </w:p>
    <w:p>
      <w:pPr>
        <w:pStyle w:val="9"/>
        <w:jc w:val="center"/>
        <w:rPr>
          <w:rFonts w:hint="default" w:ascii="Times New Roman" w:hAnsi="Times New Roman" w:cs="Times New Roman"/>
          <w:sz w:val="72"/>
          <w:szCs w:val="72"/>
        </w:rPr>
      </w:pPr>
    </w:p>
    <w:p>
      <w:pPr>
        <w:pStyle w:val="9"/>
        <w:jc w:val="center"/>
        <w:rPr>
          <w:rFonts w:hint="default" w:ascii="Times New Roman" w:hAnsi="Times New Roman" w:cs="Times New Roman"/>
          <w:sz w:val="72"/>
          <w:szCs w:val="72"/>
        </w:rPr>
      </w:pPr>
    </w:p>
    <w:p>
      <w:pPr>
        <w:pStyle w:val="9"/>
        <w:jc w:val="center"/>
        <w:rPr>
          <w:rFonts w:hint="default" w:ascii="Times New Roman" w:hAnsi="Times New Roman" w:cs="Times New Roman"/>
          <w:sz w:val="72"/>
          <w:szCs w:val="72"/>
        </w:rPr>
      </w:pPr>
    </w:p>
    <w:p>
      <w:pPr>
        <w:pStyle w:val="9"/>
        <w:jc w:val="center"/>
        <w:rPr>
          <w:rFonts w:hint="default" w:ascii="Times New Roman" w:hAnsi="Times New Roman" w:cs="Times New Roman"/>
          <w:sz w:val="72"/>
          <w:szCs w:val="72"/>
        </w:rPr>
      </w:pPr>
    </w:p>
    <w:p>
      <w:pPr>
        <w:pStyle w:val="9"/>
        <w:jc w:val="both"/>
        <w:rPr>
          <w:rFonts w:hint="default" w:ascii="Times New Roman" w:hAnsi="Times New Roman" w:eastAsia="方正小标宋_GBK" w:cs="Times New Roman"/>
          <w:sz w:val="72"/>
          <w:szCs w:val="72"/>
          <w:lang w:eastAsia="zh-CN"/>
        </w:rPr>
      </w:pPr>
    </w:p>
    <w:p>
      <w:pPr>
        <w:pStyle w:val="9"/>
        <w:jc w:val="both"/>
        <w:rPr>
          <w:rFonts w:hint="default" w:ascii="Times New Roman" w:hAnsi="Times New Roman" w:eastAsia="方正小标宋_GBK" w:cs="Times New Roman"/>
          <w:sz w:val="72"/>
          <w:szCs w:val="72"/>
          <w:lang w:eastAsia="zh-CN"/>
        </w:rPr>
      </w:pPr>
    </w:p>
    <w:p>
      <w:pPr>
        <w:pStyle w:val="9"/>
        <w:jc w:val="both"/>
        <w:rPr>
          <w:rFonts w:hint="default" w:ascii="Times New Roman" w:hAnsi="Times New Roman" w:eastAsia="方正小标宋_GBK" w:cs="Times New Roman"/>
          <w:sz w:val="72"/>
          <w:szCs w:val="72"/>
          <w:lang w:eastAsia="zh-CN"/>
        </w:rPr>
      </w:pPr>
    </w:p>
    <w:p>
      <w:pPr>
        <w:pStyle w:val="9"/>
        <w:jc w:val="center"/>
        <w:rPr>
          <w:rFonts w:hint="default" w:ascii="Times New Roman" w:hAnsi="Times New Roman" w:eastAsia="方正小标宋_GBK" w:cs="Times New Roman"/>
          <w:sz w:val="72"/>
          <w:szCs w:val="72"/>
        </w:rPr>
      </w:pPr>
    </w:p>
    <w:p>
      <w:pPr>
        <w:pStyle w:val="9"/>
        <w:jc w:val="center"/>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第四部分</w:t>
      </w:r>
    </w:p>
    <w:p>
      <w:pPr>
        <w:jc w:val="center"/>
        <w:rPr>
          <w:rFonts w:hint="default" w:ascii="Times New Roman" w:hAnsi="Times New Roman" w:eastAsia="方正小标宋_GBK" w:cs="Times New Roman"/>
          <w:color w:val="000000"/>
          <w:kern w:val="0"/>
          <w:sz w:val="70"/>
          <w:szCs w:val="70"/>
        </w:rPr>
      </w:pPr>
    </w:p>
    <w:p>
      <w:pPr>
        <w:jc w:val="center"/>
        <w:rPr>
          <w:rFonts w:hint="default" w:ascii="Times New Roman" w:hAnsi="Times New Roman" w:eastAsia="方正小标宋_GBK" w:cs="Times New Roman"/>
          <w:color w:val="000000"/>
          <w:kern w:val="0"/>
          <w:sz w:val="70"/>
          <w:szCs w:val="70"/>
        </w:rPr>
      </w:pPr>
      <w:r>
        <w:rPr>
          <w:rFonts w:hint="default" w:ascii="Times New Roman" w:hAnsi="Times New Roman" w:eastAsia="方正小标宋_GBK" w:cs="Times New Roman"/>
          <w:color w:val="000000"/>
          <w:kern w:val="0"/>
          <w:sz w:val="70"/>
          <w:szCs w:val="70"/>
        </w:rPr>
        <w:t>名词解释</w:t>
      </w:r>
    </w:p>
    <w:p>
      <w:pPr>
        <w:widowControl/>
        <w:jc w:val="left"/>
        <w:rPr>
          <w:rFonts w:hint="default" w:ascii="Times New Roman" w:hAnsi="Times New Roman" w:cs="Times New Roman"/>
          <w:color w:val="000000"/>
          <w:kern w:val="0"/>
          <w:sz w:val="32"/>
          <w:szCs w:val="32"/>
        </w:rPr>
      </w:pPr>
      <w:r>
        <w:rPr>
          <w:rFonts w:hint="default" w:ascii="Times New Roman" w:hAnsi="Times New Roman" w:eastAsia="方正小标宋_GBK" w:cs="Times New Roman"/>
          <w:color w:val="000000"/>
          <w:kern w:val="0"/>
          <w:sz w:val="70"/>
          <w:szCs w:val="70"/>
        </w:rPr>
        <w:br w:type="page"/>
      </w:r>
    </w:p>
    <w:p>
      <w:pPr>
        <w:ind w:firstLine="643"/>
        <w:jc w:val="left"/>
        <w:rPr>
          <w:rFonts w:hint="default" w:ascii="Times New Roman" w:hAnsi="Times New Roman" w:eastAsia="仿宋" w:cs="Times New Roman"/>
          <w:sz w:val="32"/>
        </w:rPr>
      </w:pPr>
      <w:r>
        <w:rPr>
          <w:rFonts w:hint="default" w:ascii="Times New Roman" w:hAnsi="Times New Roman" w:eastAsia="仿宋" w:cs="Times New Roman"/>
          <w:b/>
          <w:sz w:val="32"/>
        </w:rPr>
        <w:t>一、财政拨款收入：</w:t>
      </w:r>
      <w:r>
        <w:rPr>
          <w:rFonts w:hint="default" w:ascii="Times New Roman" w:hAnsi="Times New Roman" w:eastAsia="仿宋" w:cs="Times New Roman"/>
          <w:sz w:val="32"/>
        </w:rPr>
        <w:t xml:space="preserve">指中央财政当年拨付的资金。 </w:t>
      </w:r>
    </w:p>
    <w:p>
      <w:pPr>
        <w:ind w:firstLine="643"/>
        <w:jc w:val="left"/>
        <w:rPr>
          <w:rFonts w:hint="default" w:ascii="Times New Roman" w:hAnsi="Times New Roman" w:eastAsia="仿宋" w:cs="Times New Roman"/>
          <w:sz w:val="32"/>
        </w:rPr>
      </w:pPr>
      <w:r>
        <w:rPr>
          <w:rFonts w:hint="default" w:ascii="Times New Roman" w:hAnsi="Times New Roman" w:eastAsia="仿宋" w:cs="Times New Roman"/>
          <w:b/>
          <w:sz w:val="32"/>
        </w:rPr>
        <w:t>二、事业收入：</w:t>
      </w:r>
      <w:r>
        <w:rPr>
          <w:rFonts w:hint="default" w:ascii="Times New Roman" w:hAnsi="Times New Roman" w:eastAsia="仿宋" w:cs="Times New Roman"/>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default" w:ascii="Times New Roman" w:hAnsi="Times New Roman" w:eastAsia="仿宋" w:cs="Times New Roman"/>
          <w:sz w:val="32"/>
        </w:rPr>
      </w:pPr>
      <w:r>
        <w:rPr>
          <w:rFonts w:hint="default" w:ascii="Times New Roman" w:hAnsi="Times New Roman" w:eastAsia="仿宋" w:cs="Times New Roman"/>
          <w:b/>
          <w:sz w:val="32"/>
        </w:rPr>
        <w:t>三、经营收入：</w:t>
      </w:r>
      <w:r>
        <w:rPr>
          <w:rFonts w:hint="default" w:ascii="Times New Roman" w:hAnsi="Times New Roman" w:eastAsia="仿宋" w:cs="Times New Roman"/>
          <w:sz w:val="32"/>
        </w:rPr>
        <w:t xml:space="preserve">指事业单位在专业业务活动及其辅助活动之外开展非独立核算经营活动取得的收入。如：中国财政杂志社广告收入等。 </w:t>
      </w:r>
    </w:p>
    <w:p>
      <w:pPr>
        <w:ind w:firstLine="643"/>
        <w:jc w:val="left"/>
        <w:rPr>
          <w:rFonts w:hint="default" w:ascii="Times New Roman" w:hAnsi="Times New Roman" w:eastAsia="仿宋" w:cs="Times New Roman"/>
          <w:sz w:val="32"/>
        </w:rPr>
      </w:pPr>
      <w:r>
        <w:rPr>
          <w:rFonts w:hint="default" w:ascii="Times New Roman" w:hAnsi="Times New Roman" w:eastAsia="仿宋" w:cs="Times New Roman"/>
          <w:b/>
          <w:sz w:val="32"/>
        </w:rPr>
        <w:t>四、其他收入：</w:t>
      </w:r>
      <w:r>
        <w:rPr>
          <w:rFonts w:hint="default" w:ascii="Times New Roman" w:hAnsi="Times New Roman" w:eastAsia="仿宋" w:cs="Times New Roman"/>
          <w:sz w:val="32"/>
        </w:rPr>
        <w:t xml:space="preserve">指除上述“财政拨款收入” 、 “事业收入” 、“经营收入”等以外的收入。主要是按规定动用的售房收入、存款利息收入等。 </w:t>
      </w:r>
    </w:p>
    <w:p>
      <w:pPr>
        <w:ind w:firstLine="643"/>
        <w:jc w:val="left"/>
        <w:rPr>
          <w:rFonts w:hint="default" w:ascii="Times New Roman" w:hAnsi="Times New Roman" w:eastAsia="仿宋" w:cs="Times New Roman"/>
          <w:sz w:val="32"/>
        </w:rPr>
      </w:pPr>
      <w:r>
        <w:rPr>
          <w:rFonts w:hint="default" w:ascii="Times New Roman" w:hAnsi="Times New Roman" w:eastAsia="仿宋" w:cs="Times New Roman"/>
          <w:b/>
          <w:sz w:val="32"/>
        </w:rPr>
        <w:t>五、用事业基金弥补收支差额：</w:t>
      </w:r>
      <w:r>
        <w:rPr>
          <w:rFonts w:hint="default" w:ascii="Times New Roman" w:hAnsi="Times New Roman" w:eastAsia="仿宋" w:cs="Times New Roman"/>
          <w:sz w:val="32"/>
        </w:rPr>
        <w:t>指事业单位在当年的“财政拨款收入</w:t>
      </w:r>
      <w:r>
        <w:rPr>
          <w:rFonts w:hint="eastAsia" w:ascii="Times New Roman" w:hAnsi="Times New Roman" w:eastAsia="仿宋" w:cs="Times New Roman"/>
          <w:sz w:val="32"/>
          <w:lang w:eastAsia="zh-CN"/>
        </w:rPr>
        <w:t>”“</w:t>
      </w:r>
      <w:r>
        <w:rPr>
          <w:rFonts w:hint="default" w:ascii="Times New Roman" w:hAnsi="Times New Roman" w:eastAsia="仿宋" w:cs="Times New Roman"/>
          <w:sz w:val="32"/>
        </w:rPr>
        <w:t>事业收入</w:t>
      </w:r>
      <w:r>
        <w:rPr>
          <w:rFonts w:hint="eastAsia" w:ascii="Times New Roman" w:hAnsi="Times New Roman" w:eastAsia="仿宋" w:cs="Times New Roman"/>
          <w:sz w:val="32"/>
          <w:lang w:eastAsia="zh-CN"/>
        </w:rPr>
        <w:t>”“</w:t>
      </w:r>
      <w:r>
        <w:rPr>
          <w:rFonts w:hint="default" w:ascii="Times New Roman" w:hAnsi="Times New Roman" w:eastAsia="仿宋" w:cs="Times New Roman"/>
          <w:sz w:val="32"/>
        </w:rPr>
        <w:t>经营收入</w:t>
      </w:r>
      <w:r>
        <w:rPr>
          <w:rFonts w:hint="eastAsia" w:ascii="Times New Roman" w:hAnsi="Times New Roman" w:eastAsia="仿宋" w:cs="Times New Roman"/>
          <w:sz w:val="32"/>
          <w:lang w:eastAsia="zh-CN"/>
        </w:rPr>
        <w:t>”“</w:t>
      </w:r>
      <w:r>
        <w:rPr>
          <w:rFonts w:hint="default" w:ascii="Times New Roman" w:hAnsi="Times New Roman" w:eastAsia="仿宋" w:cs="Times New Roman"/>
          <w:sz w:val="32"/>
        </w:rPr>
        <w:t xml:space="preserve">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default" w:ascii="Times New Roman" w:hAnsi="Times New Roman" w:eastAsia="仿宋" w:cs="Times New Roman"/>
          <w:sz w:val="32"/>
        </w:rPr>
      </w:pPr>
      <w:r>
        <w:rPr>
          <w:rFonts w:hint="default" w:ascii="Times New Roman" w:hAnsi="Times New Roman" w:eastAsia="仿宋" w:cs="Times New Roman"/>
          <w:b/>
          <w:sz w:val="32"/>
        </w:rPr>
        <w:t>六、年初结转和结余：</w:t>
      </w:r>
      <w:r>
        <w:rPr>
          <w:rFonts w:hint="default" w:ascii="Times New Roman" w:hAnsi="Times New Roman" w:eastAsia="仿宋" w:cs="Times New Roman"/>
          <w:sz w:val="32"/>
        </w:rPr>
        <w:t xml:space="preserve">指以前年度尚未完成、结转到本年按有关规定继续使用的资金。 </w:t>
      </w:r>
    </w:p>
    <w:p>
      <w:pPr>
        <w:ind w:firstLine="643"/>
        <w:jc w:val="left"/>
        <w:rPr>
          <w:rFonts w:hint="default" w:ascii="Times New Roman" w:hAnsi="Times New Roman" w:eastAsia="仿宋" w:cs="Times New Roman"/>
          <w:sz w:val="32"/>
        </w:rPr>
      </w:pPr>
      <w:r>
        <w:rPr>
          <w:rFonts w:hint="default" w:ascii="Times New Roman" w:hAnsi="Times New Roman" w:eastAsia="仿宋" w:cs="Times New Roman"/>
          <w:b/>
          <w:sz w:val="32"/>
        </w:rPr>
        <w:t>七、结余分配：</w:t>
      </w:r>
      <w:r>
        <w:rPr>
          <w:rFonts w:hint="default" w:ascii="Times New Roman" w:hAnsi="Times New Roman" w:eastAsia="仿宋" w:cs="Times New Roman"/>
          <w:sz w:val="32"/>
        </w:rPr>
        <w:t>指事业单位按规定提取的职工福利基金、事业基金和缴纳的所得税，以及建设单位按规定应交回的基本建设竣工项目结余资金。</w:t>
      </w:r>
    </w:p>
    <w:p>
      <w:pPr>
        <w:ind w:firstLine="643"/>
        <w:jc w:val="left"/>
        <w:rPr>
          <w:rFonts w:hint="default" w:ascii="Times New Roman" w:hAnsi="Times New Roman" w:eastAsia="仿宋" w:cs="Times New Roman"/>
          <w:sz w:val="32"/>
        </w:rPr>
      </w:pPr>
      <w:r>
        <w:rPr>
          <w:rFonts w:hint="default" w:ascii="Times New Roman" w:hAnsi="Times New Roman" w:eastAsia="仿宋" w:cs="Times New Roman"/>
          <w:b/>
          <w:sz w:val="32"/>
        </w:rPr>
        <w:t>八、年末结转和结余：</w:t>
      </w:r>
      <w:r>
        <w:rPr>
          <w:rFonts w:hint="default" w:ascii="Times New Roman" w:hAnsi="Times New Roman" w:eastAsia="仿宋" w:cs="Times New Roman"/>
          <w:sz w:val="32"/>
        </w:rPr>
        <w:t xml:space="preserve">指本年度或以前年度预算安排、因客观条件发生变化无法按原计划实施，需要延迟到以后年度按有关规定继续使用的资金。 </w:t>
      </w:r>
    </w:p>
    <w:p>
      <w:pPr>
        <w:ind w:firstLine="643"/>
        <w:jc w:val="left"/>
        <w:rPr>
          <w:rFonts w:hint="default" w:ascii="Times New Roman" w:hAnsi="Times New Roman" w:eastAsia="仿宋" w:cs="Times New Roman"/>
          <w:sz w:val="32"/>
        </w:rPr>
      </w:pPr>
      <w:r>
        <w:rPr>
          <w:rFonts w:hint="default" w:ascii="Times New Roman" w:hAnsi="Times New Roman" w:eastAsia="仿宋" w:cs="Times New Roman"/>
          <w:b/>
          <w:sz w:val="32"/>
        </w:rPr>
        <w:t>九、基本支出：</w:t>
      </w:r>
      <w:r>
        <w:rPr>
          <w:rFonts w:hint="default" w:ascii="Times New Roman" w:hAnsi="Times New Roman" w:eastAsia="仿宋" w:cs="Times New Roman"/>
          <w:sz w:val="32"/>
        </w:rPr>
        <w:t xml:space="preserve">指为保障机构正常运转、完成日常工作任务而发生的人员支出和公用支出。 </w:t>
      </w:r>
    </w:p>
    <w:p>
      <w:pPr>
        <w:ind w:firstLine="643"/>
        <w:jc w:val="left"/>
        <w:rPr>
          <w:rFonts w:hint="default" w:ascii="Times New Roman" w:hAnsi="Times New Roman" w:eastAsia="仿宋" w:cs="Times New Roman"/>
          <w:sz w:val="32"/>
        </w:rPr>
      </w:pPr>
      <w:r>
        <w:rPr>
          <w:rFonts w:hint="default" w:ascii="Times New Roman" w:hAnsi="Times New Roman" w:eastAsia="仿宋" w:cs="Times New Roman"/>
          <w:b/>
          <w:sz w:val="32"/>
        </w:rPr>
        <w:t>十、项目支出：</w:t>
      </w:r>
      <w:r>
        <w:rPr>
          <w:rFonts w:hint="default" w:ascii="Times New Roman" w:hAnsi="Times New Roman" w:eastAsia="仿宋" w:cs="Times New Roman"/>
          <w:sz w:val="32"/>
        </w:rPr>
        <w:t xml:space="preserve">指在基本支出之外为完成特定行政任务和事业发展目标所发生的支出。 </w:t>
      </w:r>
    </w:p>
    <w:p>
      <w:pPr>
        <w:ind w:firstLine="643"/>
        <w:jc w:val="left"/>
        <w:rPr>
          <w:rFonts w:hint="default" w:ascii="Times New Roman" w:hAnsi="Times New Roman" w:eastAsia="仿宋" w:cs="Times New Roman"/>
          <w:sz w:val="32"/>
        </w:rPr>
      </w:pPr>
      <w:r>
        <w:rPr>
          <w:rFonts w:hint="default" w:ascii="Times New Roman" w:hAnsi="Times New Roman" w:eastAsia="仿宋" w:cs="Times New Roman"/>
          <w:b/>
          <w:sz w:val="32"/>
        </w:rPr>
        <w:t>十一、经营支出：</w:t>
      </w:r>
      <w:r>
        <w:rPr>
          <w:rFonts w:hint="default" w:ascii="Times New Roman" w:hAnsi="Times New Roman" w:eastAsia="仿宋" w:cs="Times New Roman"/>
          <w:sz w:val="32"/>
        </w:rPr>
        <w:t xml:space="preserve">指事业单位在专业业务活动及其辅助活动之外开展非独立核算经营活动发生的支出。 </w:t>
      </w:r>
    </w:p>
    <w:p>
      <w:pPr>
        <w:ind w:firstLine="643"/>
        <w:jc w:val="left"/>
        <w:rPr>
          <w:rFonts w:hint="default" w:ascii="Times New Roman" w:hAnsi="Times New Roman" w:eastAsia="仿宋" w:cs="Times New Roman"/>
          <w:sz w:val="32"/>
        </w:rPr>
      </w:pPr>
      <w:r>
        <w:rPr>
          <w:rFonts w:hint="default" w:ascii="Times New Roman" w:hAnsi="Times New Roman" w:eastAsia="仿宋" w:cs="Times New Roman"/>
          <w:b/>
          <w:sz w:val="32"/>
        </w:rPr>
        <w:t>十二、“三公”经费：</w:t>
      </w:r>
      <w:r>
        <w:rPr>
          <w:rFonts w:hint="default" w:ascii="Times New Roman" w:hAnsi="Times New Roman" w:eastAsia="仿宋" w:cs="Times New Roman"/>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default" w:ascii="Times New Roman" w:hAnsi="Times New Roman" w:eastAsia="仿宋" w:cs="Times New Roman"/>
          <w:sz w:val="32"/>
        </w:rPr>
      </w:pPr>
      <w:r>
        <w:rPr>
          <w:rFonts w:hint="default" w:ascii="Times New Roman" w:hAnsi="Times New Roman" w:eastAsia="仿宋" w:cs="Times New Roman"/>
          <w:b/>
          <w:sz w:val="32"/>
        </w:rPr>
        <w:t>十三、机关运行经费：</w:t>
      </w:r>
      <w:r>
        <w:rPr>
          <w:rFonts w:hint="default" w:ascii="Times New Roman" w:hAnsi="Times New Roman" w:eastAsia="仿宋" w:cs="Times New Roman"/>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rFonts w:hint="default" w:ascii="Times New Roman" w:hAnsi="Times New Roman" w:cs="Times New Roman"/>
          <w:sz w:val="72"/>
          <w:szCs w:val="72"/>
        </w:rPr>
      </w:pPr>
    </w:p>
    <w:p>
      <w:pPr>
        <w:pStyle w:val="9"/>
        <w:jc w:val="center"/>
        <w:rPr>
          <w:rFonts w:hint="default" w:ascii="Times New Roman" w:hAnsi="Times New Roman" w:cs="Times New Roman"/>
          <w:sz w:val="72"/>
          <w:szCs w:val="72"/>
        </w:rPr>
      </w:pPr>
    </w:p>
    <w:p>
      <w:pPr>
        <w:pStyle w:val="9"/>
        <w:jc w:val="center"/>
        <w:rPr>
          <w:rFonts w:hint="default" w:ascii="Times New Roman" w:hAnsi="Times New Roman" w:cs="Times New Roman"/>
          <w:sz w:val="72"/>
          <w:szCs w:val="72"/>
        </w:rPr>
      </w:pPr>
    </w:p>
    <w:p>
      <w:pPr>
        <w:pStyle w:val="9"/>
        <w:jc w:val="center"/>
        <w:rPr>
          <w:rFonts w:hint="default" w:ascii="Times New Roman" w:hAnsi="Times New Roman" w:cs="Times New Roman"/>
          <w:sz w:val="72"/>
          <w:szCs w:val="72"/>
        </w:rPr>
      </w:pPr>
    </w:p>
    <w:p>
      <w:pPr>
        <w:pStyle w:val="9"/>
        <w:jc w:val="center"/>
        <w:rPr>
          <w:rFonts w:hint="default" w:ascii="Times New Roman" w:hAnsi="Times New Roman" w:cs="Times New Roman"/>
          <w:sz w:val="72"/>
          <w:szCs w:val="72"/>
        </w:rPr>
      </w:pPr>
    </w:p>
    <w:p>
      <w:pPr>
        <w:pStyle w:val="9"/>
        <w:jc w:val="center"/>
        <w:rPr>
          <w:rFonts w:hint="default" w:ascii="Times New Roman" w:hAnsi="Times New Roman" w:cs="Times New Roman"/>
          <w:sz w:val="72"/>
          <w:szCs w:val="72"/>
        </w:rPr>
      </w:pPr>
    </w:p>
    <w:p>
      <w:pPr>
        <w:jc w:val="left"/>
        <w:rPr>
          <w:rFonts w:hint="default" w:ascii="Times New Roman" w:hAnsi="Times New Roman" w:cs="Times New Roman"/>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E3535E-5C90-4E78-9F75-65807E5989B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AB27063-70F7-47E7-B156-12491C9F5D75}"/>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B9AD7A69-B1C2-4800-82A2-AA4A86874AEF}"/>
  </w:font>
  <w:font w:name="楷体">
    <w:panose1 w:val="02010609060101010101"/>
    <w:charset w:val="86"/>
    <w:family w:val="auto"/>
    <w:pitch w:val="default"/>
    <w:sig w:usb0="800002BF" w:usb1="38CF7CFA" w:usb2="00000016" w:usb3="00000000" w:csb0="00040001" w:csb1="00000000"/>
    <w:embedRegular r:id="rId4" w:fontKey="{89116F9A-839E-4FF6-8EB3-5E57A929CB5A}"/>
  </w:font>
  <w:font w:name="仿宋">
    <w:panose1 w:val="02010609060101010101"/>
    <w:charset w:val="86"/>
    <w:family w:val="auto"/>
    <w:pitch w:val="default"/>
    <w:sig w:usb0="800002BF" w:usb1="38CF7CFA" w:usb2="00000016" w:usb3="00000000" w:csb0="00040001" w:csb1="00000000"/>
    <w:embedRegular r:id="rId5" w:fontKey="{201E83B6-EFA7-4CA7-BDFC-01EDA29592D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MTU5OWExZjMwODgyMGRlZDAxMmM5OWIwYTRiOT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025650"/>
    <w:rsid w:val="090C386E"/>
    <w:rsid w:val="106762B5"/>
    <w:rsid w:val="12742212"/>
    <w:rsid w:val="14654BE3"/>
    <w:rsid w:val="175A21D8"/>
    <w:rsid w:val="1F7B230E"/>
    <w:rsid w:val="25DF38A3"/>
    <w:rsid w:val="29FA2D3E"/>
    <w:rsid w:val="2E1D349F"/>
    <w:rsid w:val="2EE52352"/>
    <w:rsid w:val="3BC81070"/>
    <w:rsid w:val="5777D4F5"/>
    <w:rsid w:val="5D467388"/>
    <w:rsid w:val="5FC6BB1E"/>
    <w:rsid w:val="5FF720F1"/>
    <w:rsid w:val="666C2EF6"/>
    <w:rsid w:val="72881E74"/>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4173</Words>
  <Characters>4513</Characters>
  <Lines>63</Lines>
  <Paragraphs>18</Paragraphs>
  <TotalTime>222</TotalTime>
  <ScaleCrop>false</ScaleCrop>
  <LinksUpToDate>false</LinksUpToDate>
  <CharactersWithSpaces>4541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飞．·</cp:lastModifiedBy>
  <cp:lastPrinted>2023-08-15T09:28:00Z</cp:lastPrinted>
  <dcterms:modified xsi:type="dcterms:W3CDTF">2023-09-12T08:07:08Z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8737FFFFC8B241C2A269F9942B32839F_13</vt:lpwstr>
  </property>
</Properties>
</file>