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沅江市老干部休养活动中心</w:t>
      </w:r>
      <w:r>
        <w:rPr>
          <w:rFonts w:hint="eastAsia" w:ascii="方正小标宋_GBK" w:hAnsi="方正小标宋_GBK" w:eastAsia="方正小标宋_GBK" w:cs="方正小标宋_GBK"/>
          <w:sz w:val="84"/>
          <w:szCs w:val="84"/>
        </w:rPr>
        <w:t>部门决算</w:t>
      </w:r>
    </w:p>
    <w:p>
      <w:pPr>
        <w:pStyle w:val="9"/>
        <w:jc w:val="center"/>
        <w:rPr>
          <w:rFonts w:hint="eastAsia" w:ascii="方正小标宋_GBK" w:hAnsi="方正小标宋_GBK" w:eastAsia="方正小标宋_GBK" w:cs="方正小标宋_GBK"/>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spacing w:line="540" w:lineRule="exact"/>
        <w:jc w:val="both"/>
        <w:rPr>
          <w:sz w:val="56"/>
          <w:szCs w:val="56"/>
        </w:rPr>
      </w:pPr>
    </w:p>
    <w:p>
      <w:pPr>
        <w:pStyle w:val="9"/>
        <w:spacing w:line="500" w:lineRule="exact"/>
        <w:jc w:val="both"/>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沅江市老干部休养活动中心</w:t>
      </w:r>
      <w:r>
        <w:rPr>
          <w:rFonts w:hint="eastAsia" w:ascii="黑体" w:hAnsi="黑体" w:eastAsia="黑体" w:cs="黑体"/>
          <w:b w:val="0"/>
          <w:bCs/>
          <w:sz w:val="28"/>
          <w:szCs w:val="28"/>
        </w:rPr>
        <w:t>概况</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9"/>
        <w:jc w:val="both"/>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沅江市老干部休养活动中心</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autoSpaceDE w:val="0"/>
        <w:autoSpaceDN w:val="0"/>
        <w:adjustRightInd w:val="0"/>
        <w:spacing w:line="56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（1）组织、管理、协调、服务我市的老干工作；</w:t>
      </w:r>
    </w:p>
    <w:p>
      <w:pPr>
        <w:widowControl/>
        <w:autoSpaceDE w:val="0"/>
        <w:autoSpaceDN w:val="0"/>
        <w:adjustRightInd w:val="0"/>
        <w:spacing w:line="56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2</w:t>
      </w:r>
      <w:r>
        <w:rPr>
          <w:rFonts w:hint="eastAsia" w:ascii="仿宋" w:hAnsi="仿宋" w:eastAsia="仿宋" w:cs="宋体"/>
          <w:sz w:val="32"/>
          <w:szCs w:val="32"/>
        </w:rPr>
        <w:t>）落实离退休干部的政治生活待遇，组织离退休老干部发挥作用和开展活动，加强老干部工作队伍自身建设等。</w:t>
      </w:r>
    </w:p>
    <w:p>
      <w:pPr>
        <w:widowControl/>
        <w:autoSpaceDE w:val="0"/>
        <w:autoSpaceDN w:val="0"/>
        <w:adjustRightInd w:val="0"/>
        <w:spacing w:line="56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3</w:t>
      </w:r>
      <w:r>
        <w:rPr>
          <w:rFonts w:hint="eastAsia" w:ascii="仿宋" w:hAnsi="仿宋" w:eastAsia="仿宋" w:cs="宋体"/>
          <w:sz w:val="32"/>
          <w:szCs w:val="32"/>
        </w:rPr>
        <w:t>）宣传老干部活动中心工作。</w:t>
      </w:r>
    </w:p>
    <w:p>
      <w:pPr>
        <w:widowControl/>
        <w:autoSpaceDE w:val="0"/>
        <w:autoSpaceDN w:val="0"/>
        <w:adjustRightInd w:val="0"/>
        <w:spacing w:line="56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（4）老年大学教育工作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964" w:firstLineChars="300"/>
        <w:rPr>
          <w:rFonts w:hint="eastAsia" w:ascii="仿宋" w:hAnsi="仿宋" w:eastAsia="仿宋" w:cs="仿宋"/>
          <w:bCs/>
          <w:kern w:val="0"/>
          <w:sz w:val="32"/>
          <w:szCs w:val="32"/>
        </w:rPr>
      </w:pPr>
      <w:r>
        <w:rPr>
          <w:rFonts w:hint="eastAsia" w:ascii="楷体" w:hAnsi="楷体" w:eastAsia="楷体"/>
          <w:b/>
          <w:bCs/>
          <w:kern w:val="0"/>
          <w:sz w:val="32"/>
          <w:szCs w:val="32"/>
        </w:rPr>
        <w:t>（一）内设机构设置。</w:t>
      </w:r>
      <w:r>
        <w:rPr>
          <w:rFonts w:hint="eastAsia" w:ascii="仿宋" w:hAnsi="仿宋" w:eastAsia="仿宋" w:cs="仿宋"/>
          <w:bCs/>
          <w:kern w:val="0"/>
          <w:sz w:val="32"/>
          <w:szCs w:val="32"/>
        </w:rPr>
        <w:t>我单位设4个内设机构,分别为办公室、教育股、活动股、休养后勤所。202</w:t>
      </w:r>
      <w:r>
        <w:rPr>
          <w:rFonts w:hint="eastAsia" w:ascii="仿宋" w:hAnsi="仿宋" w:eastAsia="仿宋" w:cs="仿宋"/>
          <w:bCs/>
          <w:kern w:val="0"/>
          <w:sz w:val="32"/>
          <w:szCs w:val="32"/>
          <w:lang w:val="en-US" w:eastAsia="zh-CN"/>
        </w:rPr>
        <w:t>2</w:t>
      </w:r>
      <w:r>
        <w:rPr>
          <w:rFonts w:hint="eastAsia" w:ascii="仿宋" w:hAnsi="仿宋" w:eastAsia="仿宋" w:cs="仿宋"/>
          <w:bCs/>
          <w:kern w:val="0"/>
          <w:sz w:val="32"/>
          <w:szCs w:val="32"/>
        </w:rPr>
        <w:t>年本单位为财政全额拨款事业单位组成。</w:t>
      </w:r>
    </w:p>
    <w:p>
      <w:pPr>
        <w:widowControl/>
        <w:spacing w:line="600" w:lineRule="exact"/>
        <w:ind w:firstLine="964" w:firstLineChars="300"/>
        <w:rPr>
          <w:rFonts w:hint="eastAsia" w:ascii="仿宋" w:hAnsi="仿宋" w:eastAsia="仿宋" w:cs="仿宋"/>
          <w:bCs/>
          <w:kern w:val="0"/>
          <w:sz w:val="32"/>
          <w:szCs w:val="32"/>
        </w:rPr>
      </w:pPr>
      <w:r>
        <w:rPr>
          <w:rFonts w:hint="eastAsia" w:ascii="楷体" w:hAnsi="楷体" w:eastAsia="楷体" w:cs="楷体"/>
          <w:b/>
          <w:bCs w:val="0"/>
          <w:kern w:val="0"/>
          <w:sz w:val="32"/>
          <w:szCs w:val="32"/>
        </w:rPr>
        <w:t>（二）决算单位构成。</w:t>
      </w:r>
      <w:r>
        <w:rPr>
          <w:rFonts w:hint="eastAsia" w:ascii="仿宋" w:hAnsi="仿宋" w:eastAsia="仿宋" w:cs="仿宋"/>
          <w:bCs/>
          <w:kern w:val="0"/>
          <w:sz w:val="32"/>
          <w:szCs w:val="32"/>
          <w:lang w:eastAsia="zh-CN"/>
        </w:rPr>
        <w:t>沅江市老干部休养活动中心</w:t>
      </w:r>
      <w:r>
        <w:rPr>
          <w:rFonts w:hint="eastAsia" w:ascii="仿宋" w:hAnsi="仿宋" w:eastAsia="仿宋" w:cs="仿宋"/>
          <w:bCs/>
          <w:kern w:val="0"/>
          <w:sz w:val="32"/>
          <w:szCs w:val="32"/>
        </w:rPr>
        <w:t>202</w:t>
      </w:r>
      <w:r>
        <w:rPr>
          <w:rFonts w:hint="eastAsia" w:ascii="仿宋" w:hAnsi="仿宋" w:eastAsia="仿宋" w:cs="仿宋"/>
          <w:bCs/>
          <w:kern w:val="0"/>
          <w:sz w:val="32"/>
          <w:szCs w:val="32"/>
          <w:lang w:val="en-US" w:eastAsia="zh-CN"/>
        </w:rPr>
        <w:t>2</w:t>
      </w:r>
      <w:r>
        <w:rPr>
          <w:rFonts w:hint="eastAsia" w:ascii="仿宋" w:hAnsi="仿宋" w:eastAsia="仿宋" w:cs="仿宋"/>
          <w:bCs/>
          <w:kern w:val="0"/>
          <w:sz w:val="32"/>
          <w:szCs w:val="32"/>
        </w:rPr>
        <w:t>年部门决算汇总公开单位构成包括：</w:t>
      </w:r>
      <w:r>
        <w:rPr>
          <w:rFonts w:hint="eastAsia" w:ascii="仿宋" w:hAnsi="仿宋" w:eastAsia="仿宋" w:cs="仿宋"/>
          <w:bCs/>
          <w:kern w:val="0"/>
          <w:sz w:val="32"/>
          <w:szCs w:val="32"/>
          <w:lang w:eastAsia="zh-CN"/>
        </w:rPr>
        <w:t>沅江市老干部休养活动中心</w:t>
      </w:r>
      <w:r>
        <w:rPr>
          <w:rFonts w:hint="eastAsia" w:ascii="仿宋" w:hAnsi="仿宋" w:eastAsia="仿宋" w:cs="仿宋"/>
          <w:bCs/>
          <w:kern w:val="0"/>
          <w:sz w:val="32"/>
          <w:szCs w:val="32"/>
        </w:rPr>
        <w:t>本级。</w:t>
      </w:r>
    </w:p>
    <w:p>
      <w:pPr>
        <w:jc w:val="left"/>
        <w:rPr>
          <w:rFonts w:hint="eastAsia" w:ascii="仿宋" w:hAnsi="仿宋" w:eastAsia="仿宋" w:cs="仿宋"/>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r>
        <w:rPr>
          <w:rFonts w:hint="eastAsia"/>
          <w:sz w:val="72"/>
          <w:szCs w:val="72"/>
          <w:lang w:eastAsia="zh-CN"/>
        </w:rPr>
        <w:t>（</w:t>
      </w:r>
      <w:r>
        <w:rPr>
          <w:rFonts w:hint="eastAsia"/>
          <w:sz w:val="72"/>
          <w:szCs w:val="72"/>
          <w:lang w:val="en-US" w:eastAsia="zh-CN"/>
        </w:rPr>
        <w:t>见附表</w:t>
      </w:r>
      <w:r>
        <w:rPr>
          <w:rFonts w:hint="eastAsia"/>
          <w:sz w:val="72"/>
          <w:szCs w:val="72"/>
          <w:lang w:eastAsia="zh-CN"/>
        </w:rPr>
        <w:t>）</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9"/>
        <w:jc w:val="center"/>
        <w:rPr>
          <w:rFonts w:hint="eastAsia" w:ascii="方正小标宋_GBK" w:hAnsi="方正小标宋_GBK" w:eastAsia="方正小标宋_GBK" w:cs="方正小标宋_GBK"/>
          <w:sz w:val="70"/>
          <w:szCs w:val="70"/>
        </w:rPr>
      </w:pPr>
    </w:p>
    <w:p>
      <w:pPr>
        <w:pStyle w:val="9"/>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340.1</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48.47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16.6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2022年人员工资收入增加。</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340.1</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331.1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97.35</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2.65</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348.16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169.8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48.77</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178.36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51.23</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331.1</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61.72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22.91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追加了专项报告经费。</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331.1</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95.1</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61.72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22.91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追加了专项报告经费。</w:t>
      </w:r>
    </w:p>
    <w:p>
      <w:pPr>
        <w:pStyle w:val="9"/>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331.1</w:t>
      </w:r>
      <w:r>
        <w:rPr>
          <w:rFonts w:hint="eastAsia" w:ascii="Times New Roman" w:hAnsi="Times New Roman" w:eastAsia="仿宋_GB2312"/>
          <w:sz w:val="32"/>
          <w:szCs w:val="32"/>
        </w:rPr>
        <w:t>万元，主要用于以下方面：</w:t>
      </w:r>
      <w:r>
        <w:rPr>
          <w:rFonts w:hint="eastAsia" w:asciiTheme="minorEastAsia" w:hAnsiTheme="minorEastAsia" w:eastAsiaTheme="minorEastAsia"/>
          <w:sz w:val="32"/>
          <w:szCs w:val="32"/>
          <w:lang w:val="en-US" w:eastAsia="zh-CN"/>
        </w:rPr>
        <w:t>一般公共服务支出312.67</w:t>
      </w:r>
      <w:r>
        <w:rPr>
          <w:rFonts w:hint="eastAsia" w:asciiTheme="minorEastAsia" w:hAnsiTheme="minorEastAsia" w:eastAsiaTheme="minorEastAsia"/>
          <w:sz w:val="32"/>
          <w:szCs w:val="32"/>
        </w:rPr>
        <w:t>，</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94.43</w:t>
      </w:r>
      <w:r>
        <w:rPr>
          <w:rFonts w:hint="eastAsia" w:ascii="Times New Roman" w:hAnsi="Times New Roman" w:eastAsia="仿宋_GB2312"/>
          <w:sz w:val="32"/>
          <w:szCs w:val="32"/>
        </w:rPr>
        <w:t>%；</w:t>
      </w:r>
      <w:r>
        <w:rPr>
          <w:rFonts w:hint="eastAsia" w:asciiTheme="minorEastAsia" w:hAnsiTheme="minorEastAsia" w:eastAsiaTheme="minorEastAsia"/>
          <w:sz w:val="32"/>
          <w:szCs w:val="32"/>
          <w:lang w:val="en-US" w:eastAsia="zh-CN"/>
        </w:rPr>
        <w:t>科学技术</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2.42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社会保障和就业支出5.09万元，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1.54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heme="minorEastAsia" w:hAnsiTheme="minorEastAsia" w:eastAsiaTheme="minorEastAsia"/>
          <w:sz w:val="32"/>
          <w:szCs w:val="32"/>
        </w:rPr>
        <w:t>住房保障（类）支出</w:t>
      </w:r>
      <w:r>
        <w:rPr>
          <w:rFonts w:hint="eastAsia" w:asciiTheme="minorEastAsia" w:hAnsiTheme="minorEastAsia" w:eastAsiaTheme="minorEastAsia"/>
          <w:sz w:val="32"/>
          <w:szCs w:val="32"/>
          <w:lang w:val="en-US" w:eastAsia="zh-CN"/>
        </w:rPr>
        <w:t>5.34</w:t>
      </w:r>
      <w:r>
        <w:rPr>
          <w:rFonts w:hint="eastAsia" w:asciiTheme="minorEastAsia" w:hAnsiTheme="minorEastAsia" w:eastAsiaTheme="minorEastAsia"/>
          <w:sz w:val="32"/>
          <w:szCs w:val="32"/>
        </w:rPr>
        <w:t>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1.61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152.64</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348.16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228.1</w:t>
      </w:r>
      <w:r>
        <w:rPr>
          <w:rFonts w:hint="eastAsia" w:ascii="Times New Roman" w:hAnsi="Times New Roman" w:eastAsia="仿宋_GB2312"/>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imes New Roman" w:hAnsi="Times New Roman" w:eastAsia="仿宋_GB2312"/>
          <w:sz w:val="32"/>
          <w:szCs w:val="32"/>
        </w:rPr>
        <w:t>一般公共服务</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147.29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312.67</w:t>
      </w:r>
      <w:r>
        <w:rPr>
          <w:rFonts w:hint="eastAsia" w:asciiTheme="minorEastAsia" w:hAnsiTheme="minorEastAsia" w:eastAsiaTheme="minorEastAsia"/>
          <w:sz w:val="32"/>
          <w:szCs w:val="32"/>
        </w:rPr>
        <w:t>万元，决算数大于年初预算数的主要原因是：调整了人员经费以及追加了资金。</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val="en-US" w:eastAsia="zh-CN"/>
        </w:rPr>
        <w:t>科学技术</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val="en-US" w:eastAsia="zh-CN"/>
        </w:rPr>
        <w:t>追加的报告资金。</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w:t>
      </w:r>
      <w:r>
        <w:rPr>
          <w:rFonts w:hint="eastAsia" w:ascii="Times New Roman" w:hAnsi="Times New Roman" w:eastAsia="仿宋_GB2312"/>
          <w:sz w:val="32"/>
          <w:szCs w:val="32"/>
          <w:lang w:val="en-US" w:eastAsia="zh-CN"/>
        </w:rPr>
        <w:t>社会保障和就业</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5.09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val="en-US" w:eastAsia="zh-CN"/>
        </w:rPr>
        <w:t>临聘人员社保</w:t>
      </w:r>
      <w:r>
        <w:rPr>
          <w:rFonts w:hint="eastAsia" w:asciiTheme="minorEastAsia" w:hAnsiTheme="minorEastAsia" w:eastAsiaTheme="minorEastAsia"/>
          <w:sz w:val="32"/>
          <w:szCs w:val="32"/>
        </w:rPr>
        <w:t>。</w:t>
      </w:r>
    </w:p>
    <w:p>
      <w:pPr>
        <w:pStyle w:val="9"/>
        <w:numPr>
          <w:ilvl w:val="0"/>
          <w:numId w:val="2"/>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住房保障（类）</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5.34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5.34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166.49</w:t>
      </w:r>
      <w:r>
        <w:rPr>
          <w:rFonts w:hint="eastAsia" w:ascii="Times New Roman" w:hAnsi="Times New Roman" w:eastAsia="仿宋_GB2312"/>
          <w:sz w:val="32"/>
          <w:szCs w:val="32"/>
        </w:rPr>
        <w:t>万元，其中：</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141.09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84.74</w:t>
      </w:r>
      <w:r>
        <w:rPr>
          <w:rFonts w:hint="eastAsia" w:ascii="Times New Roman" w:hAnsi="Times New Roman" w:eastAsia="仿宋_GB2312"/>
          <w:sz w:val="32"/>
          <w:szCs w:val="32"/>
        </w:rPr>
        <w:t>%,主要包括</w:t>
      </w:r>
      <w:r>
        <w:rPr>
          <w:rFonts w:asciiTheme="minorEastAsia" w:hAnsiTheme="minorEastAsia" w:eastAsiaTheme="minorEastAsia"/>
          <w:sz w:val="32"/>
          <w:szCs w:val="32"/>
        </w:rPr>
        <w:t>基本工资、津贴补贴</w:t>
      </w:r>
      <w:r>
        <w:rPr>
          <w:rFonts w:hint="eastAsia" w:asciiTheme="minorEastAsia" w:hAnsiTheme="minorEastAsia" w:eastAsiaTheme="minorEastAsia"/>
          <w:sz w:val="32"/>
          <w:szCs w:val="32"/>
        </w:rPr>
        <w:t>、奖金、伙食补助费、机关事业单位基本养老保险缴费、职工基本医疗保险缴费、其他社会保障缴费、住房公积金、医疗费、其他工资福利支出、生活补助、奖励金</w:t>
      </w:r>
      <w:r>
        <w:rPr>
          <w:rFonts w:hint="eastAsia" w:ascii="Times New Roman" w:hAnsi="Times New Roman" w:eastAsia="仿宋_GB2312"/>
          <w:sz w:val="32"/>
          <w:szCs w:val="32"/>
          <w:lang w:eastAsia="zh-CN"/>
        </w:rPr>
        <w:t>。</w:t>
      </w:r>
    </w:p>
    <w:p>
      <w:pPr>
        <w:pStyle w:val="9"/>
        <w:ind w:firstLine="640" w:firstLineChars="200"/>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b/>
          <w:bCs/>
          <w:sz w:val="32"/>
          <w:szCs w:val="32"/>
          <w:lang w:val="en-US" w:eastAsia="zh-CN"/>
        </w:rPr>
        <w:t>25.4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15.26</w:t>
      </w:r>
      <w:r>
        <w:rPr>
          <w:rFonts w:hint="eastAsia" w:ascii="Times New Roman" w:hAnsi="Times New Roman" w:eastAsia="仿宋_GB2312"/>
          <w:sz w:val="32"/>
          <w:szCs w:val="32"/>
        </w:rPr>
        <w:t>%，主要包括</w:t>
      </w:r>
      <w:r>
        <w:rPr>
          <w:rFonts w:hint="eastAsia" w:asciiTheme="minorEastAsia" w:hAnsiTheme="minorEastAsia" w:eastAsiaTheme="minorEastAsia"/>
          <w:sz w:val="32"/>
          <w:szCs w:val="32"/>
        </w:rPr>
        <w:t>办公费、印刷费、水费、电费、邮电费、差旅费、维修（护）费、培训费、劳务费、工会经费、其他交通费用、其他商品和服务支出。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%，与上年相比减少（增加）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val="en-US" w:eastAsia="zh-CN"/>
        </w:rPr>
        <w:t>持平</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val="en-US" w:eastAsia="zh-CN"/>
        </w:rPr>
        <w:t>有效控制了接待开支</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%，与上年相比减少（增加）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%，与上年相比减少（增加）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万元，全年共接待来访</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老年大学交流学习</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9"/>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本单位无政府性基金收支。</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25.4</w:t>
      </w:r>
      <w:r>
        <w:rPr>
          <w:rFonts w:hint="eastAsia" w:ascii="Times New Roman" w:hAnsi="Times New Roman" w:eastAsia="仿宋_GB2312"/>
          <w:sz w:val="32"/>
          <w:szCs w:val="32"/>
        </w:rPr>
        <w:t>万元，比上年决算数减少</w:t>
      </w:r>
      <w:r>
        <w:rPr>
          <w:rFonts w:hint="eastAsia" w:ascii="Times New Roman" w:hAnsi="Times New Roman" w:eastAsia="仿宋_GB2312"/>
          <w:sz w:val="32"/>
          <w:szCs w:val="32"/>
          <w:lang w:val="en-US" w:eastAsia="zh-CN"/>
        </w:rPr>
        <w:t>3.6</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12.41</w:t>
      </w:r>
      <w:r>
        <w:rPr>
          <w:rFonts w:hint="eastAsia" w:ascii="Times New Roman" w:hAnsi="Times New Roman" w:eastAsia="仿宋_GB2312"/>
          <w:sz w:val="32"/>
          <w:szCs w:val="32"/>
        </w:rPr>
        <w:t>%。主要原因是：</w:t>
      </w:r>
      <w:r>
        <w:rPr>
          <w:rFonts w:hint="eastAsia" w:asciiTheme="minorEastAsia" w:hAnsiTheme="minorEastAsia" w:eastAsiaTheme="minorEastAsia"/>
          <w:sz w:val="32"/>
          <w:szCs w:val="32"/>
          <w:lang w:val="en-US" w:eastAsia="zh-CN"/>
        </w:rPr>
        <w:t>减少了行政运行开支</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人；开支培训费</w:t>
      </w:r>
      <w:r>
        <w:rPr>
          <w:rFonts w:hint="eastAsia" w:ascii="Times New Roman" w:hAnsi="Times New Roman" w:eastAsia="仿宋_GB2312"/>
          <w:sz w:val="32"/>
          <w:szCs w:val="32"/>
          <w:lang w:val="en-US" w:eastAsia="zh-CN"/>
        </w:rPr>
        <w:t>0.18</w:t>
      </w:r>
      <w:r>
        <w:rPr>
          <w:rFonts w:hint="eastAsia" w:ascii="Times New Roman" w:hAnsi="Times New Roman" w:eastAsia="仿宋_GB2312"/>
          <w:sz w:val="32"/>
          <w:szCs w:val="32"/>
        </w:rPr>
        <w:t>万元，</w:t>
      </w:r>
      <w:r>
        <w:rPr>
          <w:rFonts w:hint="eastAsia" w:asciiTheme="minorEastAsia" w:hAnsiTheme="minorEastAsia" w:eastAsiaTheme="minorEastAsia"/>
          <w:sz w:val="32"/>
          <w:szCs w:val="32"/>
        </w:rPr>
        <w:t>用于开展</w:t>
      </w:r>
      <w:r>
        <w:rPr>
          <w:rFonts w:hint="eastAsia" w:asciiTheme="minorEastAsia" w:hAnsiTheme="minorEastAsia" w:eastAsiaTheme="minorEastAsia"/>
          <w:sz w:val="32"/>
          <w:szCs w:val="32"/>
          <w:lang w:val="en-US" w:eastAsia="zh-CN"/>
        </w:rPr>
        <w:t>老年大学开班培训</w:t>
      </w:r>
      <w:r>
        <w:rPr>
          <w:rFonts w:hint="eastAsia" w:asciiTheme="minorEastAsia" w:hAnsiTheme="minorEastAsia" w:eastAsiaTheme="minorEastAsia"/>
          <w:sz w:val="32"/>
          <w:szCs w:val="32"/>
        </w:rPr>
        <w:t>开支</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老年大学开课岗前培训费用。</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spacing w:line="520" w:lineRule="exact"/>
        <w:ind w:firstLine="640" w:firstLineChars="200"/>
        <w:rPr>
          <w:rFonts w:ascii="仿宋_GB2312" w:hAnsi="仿宋"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348.16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仿宋" w:hAnsi="仿宋" w:eastAsia="仿宋" w:cs="仿宋"/>
          <w:sz w:val="32"/>
          <w:szCs w:val="32"/>
          <w:lang w:val="zh-CN"/>
        </w:rPr>
        <w:t>主要用于</w:t>
      </w:r>
      <w:r>
        <w:rPr>
          <w:rFonts w:hint="eastAsia" w:ascii="仿宋" w:hAnsi="仿宋" w:eastAsia="仿宋" w:cs="仿宋"/>
          <w:sz w:val="32"/>
          <w:szCs w:val="32"/>
          <w:lang w:val="en-US" w:eastAsia="zh-CN"/>
        </w:rPr>
        <w:t>以下几个方面：1、</w:t>
      </w:r>
      <w:r>
        <w:rPr>
          <w:rFonts w:hint="eastAsia" w:ascii="仿宋_GB2312" w:hAnsi="仿宋" w:eastAsia="仿宋_GB2312"/>
          <w:sz w:val="32"/>
          <w:szCs w:val="32"/>
        </w:rPr>
        <w:t>创建工作</w:t>
      </w:r>
      <w:r>
        <w:rPr>
          <w:rFonts w:hint="eastAsia" w:ascii="仿宋_GB2312" w:hAnsi="仿宋" w:eastAsia="仿宋_GB2312"/>
          <w:sz w:val="32"/>
          <w:szCs w:val="32"/>
          <w:lang w:val="en-US" w:eastAsia="zh-CN"/>
        </w:rPr>
        <w:t>的开展</w:t>
      </w:r>
      <w:r>
        <w:rPr>
          <w:rFonts w:hint="eastAsia" w:ascii="仿宋_GB2312" w:hAnsi="仿宋" w:eastAsia="仿宋_GB2312"/>
          <w:sz w:val="32"/>
          <w:szCs w:val="32"/>
        </w:rPr>
        <w:t>,</w:t>
      </w:r>
      <w:r>
        <w:rPr>
          <w:rFonts w:hint="eastAsia" w:ascii="仿宋_GB2312" w:hAnsi="仿宋" w:eastAsia="仿宋_GB2312"/>
          <w:sz w:val="32"/>
          <w:szCs w:val="32"/>
          <w:lang w:val="en-US" w:eastAsia="zh-CN"/>
        </w:rPr>
        <w:t>2、省级老干部工作先进集体评比</w:t>
      </w:r>
      <w:r>
        <w:rPr>
          <w:rFonts w:hint="eastAsia" w:ascii="仿宋_GB2312" w:hAnsi="仿宋" w:eastAsia="仿宋_GB2312"/>
          <w:sz w:val="32"/>
          <w:szCs w:val="32"/>
        </w:rPr>
        <w:t>工作开展取得好的成绩和成果；</w:t>
      </w:r>
      <w:r>
        <w:rPr>
          <w:rFonts w:hint="eastAsia" w:ascii="仿宋_GB2312" w:hAnsi="仿宋" w:eastAsia="仿宋_GB2312"/>
          <w:sz w:val="32"/>
          <w:szCs w:val="32"/>
          <w:lang w:val="en-US" w:eastAsia="zh-CN"/>
        </w:rPr>
        <w:t>3、</w:t>
      </w:r>
      <w:r>
        <w:rPr>
          <w:rFonts w:hint="eastAsia" w:ascii="仿宋_GB2312" w:hAnsi="仿宋" w:eastAsia="仿宋_GB2312"/>
          <w:sz w:val="32"/>
          <w:szCs w:val="32"/>
        </w:rPr>
        <w:t>协助市委老干部局完成了老干部庆重阳活动、举办了“重阳节老干部趣味运动会”等活动，给全市</w:t>
      </w:r>
      <w:r>
        <w:rPr>
          <w:rFonts w:hint="eastAsia" w:ascii="仿宋_GB2312" w:hAnsi="仿宋" w:eastAsia="仿宋_GB2312"/>
          <w:sz w:val="32"/>
          <w:szCs w:val="32"/>
          <w:lang w:val="en-US" w:eastAsia="zh-CN"/>
        </w:rPr>
        <w:t>1900</w:t>
      </w:r>
      <w:r>
        <w:rPr>
          <w:rFonts w:hint="eastAsia" w:ascii="仿宋_GB2312" w:hAnsi="仿宋" w:eastAsia="仿宋_GB2312"/>
          <w:sz w:val="32"/>
          <w:szCs w:val="32"/>
        </w:rPr>
        <w:t>多位离退休老干部的各项待遇落实提供了保障服务工作</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4</w:t>
      </w:r>
      <w:r>
        <w:rPr>
          <w:rFonts w:hint="eastAsia" w:ascii="仿宋_GB2312" w:hAnsi="仿宋" w:eastAsia="仿宋_GB2312"/>
          <w:sz w:val="32"/>
          <w:szCs w:val="32"/>
        </w:rPr>
        <w:t>沅江市老年大学开设</w:t>
      </w:r>
      <w:r>
        <w:rPr>
          <w:rFonts w:hint="eastAsia" w:ascii="仿宋_GB2312" w:hAnsi="仿宋" w:eastAsia="仿宋_GB2312"/>
          <w:sz w:val="32"/>
          <w:szCs w:val="32"/>
          <w:lang w:val="en-US" w:eastAsia="zh-CN"/>
        </w:rPr>
        <w:t>,22</w:t>
      </w:r>
      <w:r>
        <w:rPr>
          <w:rFonts w:hint="eastAsia" w:ascii="仿宋_GB2312" w:hAnsi="仿宋" w:eastAsia="仿宋_GB2312"/>
          <w:sz w:val="32"/>
          <w:szCs w:val="32"/>
        </w:rPr>
        <w:t>个班级，保障了教学运转以及老师的授课费用，8个老年协会全年活动开展50多次，活动丰富多彩有生有色，协助五老志愿者协会开展志愿服务、“三送下乡”、义诊服务等各项工作。</w:t>
      </w:r>
      <w:bookmarkStart w:id="0" w:name="_GoBack"/>
      <w:bookmarkEnd w:id="0"/>
    </w:p>
    <w:p>
      <w:pPr>
        <w:snapToGrid w:val="0"/>
        <w:spacing w:line="360" w:lineRule="auto"/>
        <w:ind w:firstLine="640" w:firstLineChars="200"/>
        <w:rPr>
          <w:rFonts w:hint="eastAsia" w:ascii="Times New Roman" w:hAnsi="Times New Roman" w:eastAsia="仿宋_GB2312"/>
          <w:sz w:val="32"/>
          <w:szCs w:val="32"/>
        </w:rPr>
      </w:pP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spacing w:line="360" w:lineRule="auto"/>
        <w:ind w:firstLine="640" w:firstLineChars="200"/>
        <w:rPr>
          <w:sz w:val="72"/>
          <w:szCs w:val="72"/>
        </w:rPr>
      </w:pPr>
      <w:r>
        <w:rPr>
          <w:rFonts w:hint="eastAsia" w:ascii="仿宋" w:hAnsi="仿宋" w:eastAsia="仿宋" w:cs="仿宋"/>
          <w:color w:val="333333"/>
          <w:kern w:val="0"/>
          <w:sz w:val="32"/>
          <w:szCs w:val="32"/>
        </w:rPr>
        <w:t>存在一部分财政收入</w:t>
      </w:r>
      <w:r>
        <w:rPr>
          <w:rFonts w:hint="eastAsia" w:ascii="仿宋" w:hAnsi="仿宋" w:eastAsia="仿宋" w:cs="仿宋"/>
          <w:color w:val="333333"/>
          <w:kern w:val="0"/>
          <w:sz w:val="32"/>
          <w:szCs w:val="32"/>
          <w:lang w:val="en-US" w:eastAsia="zh-CN"/>
        </w:rPr>
        <w:t>拨付及支出存在时间差异</w:t>
      </w:r>
      <w:r>
        <w:rPr>
          <w:rFonts w:hint="eastAsia" w:ascii="仿宋" w:hAnsi="仿宋" w:eastAsia="仿宋" w:cs="仿宋"/>
          <w:color w:val="333333"/>
          <w:kern w:val="0"/>
          <w:sz w:val="32"/>
          <w:szCs w:val="32"/>
          <w:lang w:eastAsia="zh-CN"/>
        </w:rPr>
        <w:t>。资金使用效益有待进一步提高，绩效目标设立不够明确、细化和量化，实际工作完成效益不高。</w:t>
      </w:r>
      <w:r>
        <w:rPr>
          <w:rFonts w:hint="eastAsia" w:ascii="仿宋" w:hAnsi="仿宋" w:eastAsia="仿宋" w:cs="仿宋"/>
          <w:color w:val="333333"/>
          <w:kern w:val="0"/>
          <w:sz w:val="32"/>
          <w:szCs w:val="32"/>
          <w:lang w:val="en-US" w:eastAsia="zh-CN"/>
        </w:rPr>
        <w:t>需要</w:t>
      </w:r>
      <w:r>
        <w:rPr>
          <w:rFonts w:hint="eastAsia" w:ascii="仿宋_GB2312" w:eastAsia="仿宋_GB2312"/>
          <w:sz w:val="32"/>
          <w:szCs w:val="32"/>
        </w:rPr>
        <w:t>加强专项项目组织管理，严格落实财务管理制度。</w:t>
      </w:r>
      <w:r>
        <w:rPr>
          <w:rFonts w:hint="eastAsia" w:ascii="仿宋" w:hAnsi="仿宋" w:eastAsia="仿宋" w:cs="仿宋"/>
          <w:color w:val="333333"/>
          <w:kern w:val="0"/>
          <w:sz w:val="32"/>
          <w:szCs w:val="32"/>
          <w:lang w:eastAsia="zh-CN"/>
        </w:rPr>
        <w:t>加强预算管理，全面实施绩效管理，加强财政监督。</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rFonts w:hint="eastAsia" w:ascii="方正小标宋_GBK" w:hAnsi="方正小标宋_GBK" w:eastAsia="方正小标宋_GBK" w:cs="方正小标宋_GBK"/>
          <w:sz w:val="72"/>
          <w:szCs w:val="72"/>
          <w:lang w:eastAsia="zh-CN"/>
        </w:rPr>
      </w:pPr>
    </w:p>
    <w:p>
      <w:pPr>
        <w:pStyle w:val="9"/>
        <w:jc w:val="both"/>
        <w:rPr>
          <w:rFonts w:hint="eastAsia" w:ascii="方正小标宋_GBK" w:hAnsi="方正小标宋_GBK" w:eastAsia="方正小标宋_GBK" w:cs="方正小标宋_GBK"/>
          <w:sz w:val="72"/>
          <w:szCs w:val="72"/>
          <w:lang w:eastAsia="zh-CN"/>
        </w:rPr>
      </w:pPr>
    </w:p>
    <w:p>
      <w:pPr>
        <w:pStyle w:val="9"/>
        <w:jc w:val="both"/>
        <w:rPr>
          <w:rFonts w:hint="eastAsia" w:ascii="方正小标宋_GBK" w:hAnsi="方正小标宋_GBK" w:eastAsia="方正小标宋_GBK" w:cs="方正小标宋_GBK"/>
          <w:sz w:val="72"/>
          <w:szCs w:val="72"/>
          <w:lang w:eastAsia="zh-CN"/>
        </w:rPr>
      </w:pPr>
    </w:p>
    <w:p>
      <w:pPr>
        <w:pStyle w:val="9"/>
        <w:jc w:val="both"/>
        <w:rPr>
          <w:rFonts w:hint="eastAsia" w:ascii="方正小标宋_GBK" w:hAnsi="方正小标宋_GBK" w:eastAsia="方正小标宋_GBK" w:cs="方正小标宋_GBK"/>
          <w:sz w:val="72"/>
          <w:szCs w:val="72"/>
          <w:lang w:eastAsia="zh-CN"/>
        </w:rPr>
      </w:pPr>
    </w:p>
    <w:p>
      <w:pPr>
        <w:pStyle w:val="9"/>
        <w:jc w:val="both"/>
        <w:rPr>
          <w:rFonts w:hint="eastAsia" w:ascii="方正小标宋_GBK" w:hAnsi="方正小标宋_GBK" w:eastAsia="方正小标宋_GBK" w:cs="方正小标宋_GBK"/>
          <w:sz w:val="72"/>
          <w:szCs w:val="72"/>
          <w:lang w:eastAsia="zh-CN"/>
        </w:rPr>
      </w:pPr>
    </w:p>
    <w:p>
      <w:pPr>
        <w:pStyle w:val="9"/>
        <w:jc w:val="both"/>
        <w:rPr>
          <w:rFonts w:hint="eastAsia" w:ascii="方正小标宋_GBK" w:hAnsi="方正小标宋_GBK" w:eastAsia="方正小标宋_GBK" w:cs="方正小标宋_GBK"/>
          <w:sz w:val="72"/>
          <w:szCs w:val="72"/>
          <w:lang w:eastAsia="zh-CN"/>
        </w:rPr>
      </w:pPr>
    </w:p>
    <w:p>
      <w:pPr>
        <w:pStyle w:val="9"/>
        <w:jc w:val="both"/>
        <w:rPr>
          <w:rFonts w:hint="eastAsia" w:ascii="方正小标宋_GBK" w:hAnsi="方正小标宋_GBK" w:eastAsia="方正小标宋_GBK" w:cs="方正小标宋_GBK"/>
          <w:sz w:val="72"/>
          <w:szCs w:val="72"/>
          <w:lang w:eastAsia="zh-CN"/>
        </w:rPr>
      </w:pPr>
    </w:p>
    <w:p>
      <w:pPr>
        <w:pStyle w:val="9"/>
        <w:jc w:val="both"/>
        <w:rPr>
          <w:rFonts w:hint="eastAsia" w:ascii="方正小标宋_GBK" w:hAnsi="方正小标宋_GBK" w:eastAsia="方正小标宋_GBK" w:cs="方正小标宋_GBK"/>
          <w:sz w:val="72"/>
          <w:szCs w:val="72"/>
          <w:lang w:eastAsia="zh-CN"/>
        </w:rPr>
      </w:pPr>
    </w:p>
    <w:p>
      <w:pPr>
        <w:pStyle w:val="9"/>
        <w:jc w:val="both"/>
        <w:rPr>
          <w:rFonts w:hint="eastAsia" w:ascii="方正小标宋_GBK" w:hAnsi="方正小标宋_GBK" w:eastAsia="方正小标宋_GBK" w:cs="方正小标宋_GBK"/>
          <w:sz w:val="72"/>
          <w:szCs w:val="72"/>
          <w:lang w:eastAsia="zh-CN"/>
        </w:rPr>
      </w:pPr>
    </w:p>
    <w:p>
      <w:pPr>
        <w:pStyle w:val="9"/>
        <w:jc w:val="both"/>
        <w:rPr>
          <w:rFonts w:hint="eastAsia" w:ascii="方正小标宋_GBK" w:hAnsi="方正小标宋_GBK" w:eastAsia="方正小标宋_GBK" w:cs="方正小标宋_GBK"/>
          <w:sz w:val="72"/>
          <w:szCs w:val="72"/>
          <w:lang w:eastAsia="zh-CN"/>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C6F048"/>
    <w:multiLevelType w:val="singleLevel"/>
    <w:tmpl w:val="4AC6F048"/>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ZThjZjhiMGRmZGFmYjU3M2E5NDgwNTU2NzBlMG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90C386E"/>
    <w:rsid w:val="106762B5"/>
    <w:rsid w:val="12742212"/>
    <w:rsid w:val="175A21D8"/>
    <w:rsid w:val="17D40864"/>
    <w:rsid w:val="18AA23D7"/>
    <w:rsid w:val="23646C5B"/>
    <w:rsid w:val="33C46801"/>
    <w:rsid w:val="350D16DE"/>
    <w:rsid w:val="38E8324F"/>
    <w:rsid w:val="42106BE5"/>
    <w:rsid w:val="4D974AAA"/>
    <w:rsid w:val="51BB2628"/>
    <w:rsid w:val="547941AA"/>
    <w:rsid w:val="54E40F4F"/>
    <w:rsid w:val="5777D4F5"/>
    <w:rsid w:val="57A436AC"/>
    <w:rsid w:val="57DF403A"/>
    <w:rsid w:val="5FC6BB1E"/>
    <w:rsid w:val="5FF720F1"/>
    <w:rsid w:val="6756212E"/>
    <w:rsid w:val="6E313EBE"/>
    <w:rsid w:val="737D59BA"/>
    <w:rsid w:val="77C37683"/>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4074</Words>
  <Characters>4404</Characters>
  <Lines>63</Lines>
  <Paragraphs>18</Paragraphs>
  <TotalTime>2</TotalTime>
  <ScaleCrop>false</ScaleCrop>
  <LinksUpToDate>false</LinksUpToDate>
  <CharactersWithSpaces>4432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cp:lastModifiedBy>
  <cp:lastPrinted>2023-08-15T09:28:00Z</cp:lastPrinted>
  <dcterms:modified xsi:type="dcterms:W3CDTF">2023-09-11T08:11:08Z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820AA3201AC4455CA772857EE1EAC356_12</vt:lpwstr>
  </property>
</Properties>
</file>