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jc w:val="center"/>
        <w:rPr>
          <w:b/>
          <w:sz w:val="36"/>
          <w:szCs w:val="36"/>
        </w:rPr>
      </w:pPr>
      <w:r>
        <w:rPr>
          <w:rFonts w:hint="eastAsia" w:hAnsi="黑体"/>
          <w:b/>
          <w:sz w:val="36"/>
          <w:szCs w:val="36"/>
        </w:rPr>
        <w:t>目录</w:t>
      </w:r>
    </w:p>
    <w:p>
      <w:pPr>
        <w:pStyle w:val="4"/>
        <w:spacing w:line="500" w:lineRule="exact"/>
        <w:rPr>
          <w:rFonts w:hint="eastAsia" w:hAnsi="黑体"/>
          <w:bCs/>
          <w:sz w:val="28"/>
          <w:szCs w:val="28"/>
        </w:rPr>
      </w:pPr>
      <w:r>
        <w:rPr>
          <w:rFonts w:hint="eastAsia" w:hAnsi="黑体"/>
          <w:bCs/>
          <w:sz w:val="28"/>
          <w:szCs w:val="28"/>
        </w:rPr>
        <w:t xml:space="preserve">第一部分 </w:t>
      </w:r>
      <w:r>
        <w:rPr>
          <w:rFonts w:hint="eastAsia" w:hAnsi="黑体"/>
          <w:bCs/>
          <w:sz w:val="28"/>
          <w:szCs w:val="28"/>
          <w:lang w:eastAsia="zh-CN"/>
        </w:rPr>
        <w:t>沅江市水运事务中心</w:t>
      </w:r>
      <w:r>
        <w:rPr>
          <w:rFonts w:hint="eastAsia" w:hAnsi="黑体"/>
          <w:bCs/>
          <w:sz w:val="28"/>
          <w:szCs w:val="28"/>
        </w:rPr>
        <w:t>概况</w:t>
      </w:r>
    </w:p>
    <w:p>
      <w:pPr>
        <w:pStyle w:val="4"/>
        <w:spacing w:line="500" w:lineRule="exact"/>
        <w:ind w:firstLine="700" w:firstLineChars="250"/>
        <w:rPr>
          <w:rFonts w:hint="eastAsia"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一、部门职责</w:t>
      </w:r>
    </w:p>
    <w:p>
      <w:pPr>
        <w:pStyle w:val="4"/>
        <w:spacing w:line="500" w:lineRule="exact"/>
        <w:ind w:firstLine="700" w:firstLineChars="25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二、机构设置</w:t>
      </w:r>
    </w:p>
    <w:p>
      <w:pPr>
        <w:pStyle w:val="4"/>
        <w:spacing w:line="500" w:lineRule="exact"/>
        <w:rPr>
          <w:rFonts w:hAnsi="黑体"/>
          <w:bCs/>
          <w:sz w:val="28"/>
          <w:szCs w:val="28"/>
        </w:rPr>
      </w:pPr>
      <w:r>
        <w:rPr>
          <w:rFonts w:hint="eastAsia" w:hAnsi="黑体"/>
          <w:bCs/>
          <w:sz w:val="28"/>
          <w:szCs w:val="28"/>
        </w:rPr>
        <w:t>第二部分 部门决算表</w:t>
      </w:r>
    </w:p>
    <w:p>
      <w:pPr>
        <w:pStyle w:val="4"/>
        <w:spacing w:line="500" w:lineRule="exact"/>
        <w:ind w:firstLine="700" w:firstLineChars="250"/>
        <w:rPr>
          <w:rFonts w:hint="eastAsia"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一、收入支出决算总表</w:t>
      </w:r>
    </w:p>
    <w:p>
      <w:pPr>
        <w:pStyle w:val="4"/>
        <w:spacing w:line="500" w:lineRule="exact"/>
        <w:ind w:firstLine="700" w:firstLineChars="25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二、收入决算表</w:t>
      </w:r>
    </w:p>
    <w:p>
      <w:pPr>
        <w:pStyle w:val="4"/>
        <w:spacing w:line="500" w:lineRule="exact"/>
        <w:ind w:firstLine="700" w:firstLineChars="25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三、支出决算表</w:t>
      </w:r>
    </w:p>
    <w:p>
      <w:pPr>
        <w:pStyle w:val="4"/>
        <w:spacing w:line="500" w:lineRule="exact"/>
        <w:ind w:firstLine="700" w:firstLineChars="25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四、财政拨款收入支出决算总表</w:t>
      </w:r>
    </w:p>
    <w:p>
      <w:pPr>
        <w:pStyle w:val="4"/>
        <w:spacing w:line="500" w:lineRule="exact"/>
        <w:ind w:firstLine="700" w:firstLineChars="25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五、一般公共预算财政拨款支出决算表</w:t>
      </w:r>
    </w:p>
    <w:p>
      <w:pPr>
        <w:pStyle w:val="4"/>
        <w:spacing w:line="500" w:lineRule="exact"/>
        <w:ind w:firstLine="700" w:firstLineChars="25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六、一般公共预算财政拨款基本支出决算明细表</w:t>
      </w:r>
    </w:p>
    <w:p>
      <w:pPr>
        <w:pStyle w:val="4"/>
        <w:spacing w:line="500" w:lineRule="exact"/>
        <w:ind w:firstLine="700" w:firstLineChars="25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七、政府性基金预算财政拨款收入支出决算表</w:t>
      </w:r>
    </w:p>
    <w:p>
      <w:pPr>
        <w:pStyle w:val="4"/>
        <w:spacing w:line="500" w:lineRule="exact"/>
        <w:ind w:firstLine="700" w:firstLineChars="25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八、国有资本经营预算财政拨款支出决算表</w:t>
      </w:r>
    </w:p>
    <w:p>
      <w:pPr>
        <w:pStyle w:val="4"/>
        <w:spacing w:line="500" w:lineRule="exact"/>
        <w:ind w:firstLine="700" w:firstLineChars="25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九、财政拨款“三公”经费支出决算表</w:t>
      </w:r>
    </w:p>
    <w:p>
      <w:pPr>
        <w:pStyle w:val="4"/>
        <w:spacing w:line="500" w:lineRule="exact"/>
        <w:rPr>
          <w:rFonts w:hAnsi="黑体"/>
          <w:bCs/>
          <w:sz w:val="28"/>
          <w:szCs w:val="28"/>
        </w:rPr>
      </w:pPr>
      <w:r>
        <w:rPr>
          <w:rFonts w:hint="eastAsia" w:hAnsi="黑体"/>
          <w:bCs/>
          <w:sz w:val="28"/>
          <w:szCs w:val="28"/>
        </w:rPr>
        <w:t>第三部分 部门决算情况说明</w:t>
      </w:r>
    </w:p>
    <w:p>
      <w:pPr>
        <w:pStyle w:val="4"/>
        <w:spacing w:line="500" w:lineRule="exact"/>
        <w:ind w:firstLine="700" w:firstLineChars="250"/>
        <w:rPr>
          <w:rFonts w:hint="eastAsia"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一、收入支出决算总体情况说明</w:t>
      </w:r>
    </w:p>
    <w:p>
      <w:pPr>
        <w:spacing w:line="500" w:lineRule="exact"/>
        <w:ind w:firstLine="700" w:firstLineChars="2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二、收入决算情况说明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三、支出决算情况说明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七、一般公共预算财政拨款三公经费支出决算情况说明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八、政府性基金预算收入支出决算情况</w:t>
      </w:r>
    </w:p>
    <w:bookmarkEnd w:id="0"/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九、关于机关运行经费支出说明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十、一般性支出情况说明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十一、关于政府采购支出说明</w:t>
      </w:r>
    </w:p>
    <w:p>
      <w:pPr>
        <w:pStyle w:val="4"/>
        <w:spacing w:line="500" w:lineRule="exact"/>
        <w:ind w:firstLine="700" w:firstLineChars="250"/>
        <w:rPr>
          <w:rFonts w:ascii="仿宋_GB2312" w:hAnsi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十二、关于国有资产占用情况说明</w:t>
      </w:r>
    </w:p>
    <w:p>
      <w:pPr>
        <w:pStyle w:val="4"/>
        <w:spacing w:line="500" w:lineRule="exact"/>
        <w:ind w:firstLine="700" w:firstLineChars="25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十三、关于预算绩效情况的说明</w:t>
      </w:r>
    </w:p>
    <w:p>
      <w:pPr>
        <w:pStyle w:val="4"/>
        <w:spacing w:line="500" w:lineRule="exact"/>
        <w:rPr>
          <w:rFonts w:hAnsi="黑体"/>
          <w:bCs/>
          <w:sz w:val="28"/>
          <w:szCs w:val="28"/>
        </w:rPr>
      </w:pPr>
      <w:r>
        <w:rPr>
          <w:rFonts w:hint="eastAsia" w:hAnsi="黑体"/>
          <w:bCs/>
          <w:sz w:val="28"/>
          <w:szCs w:val="28"/>
        </w:rPr>
        <w:t>第四部分 名词解释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xNTM4MjE5MDE0NTFhOGVlYTIxMGY4N2QzNzliZmEifQ=="/>
  </w:docVars>
  <w:rsids>
    <w:rsidRoot w:val="001239FB"/>
    <w:rsid w:val="001239FB"/>
    <w:rsid w:val="005F5AF1"/>
    <w:rsid w:val="58262DCD"/>
    <w:rsid w:val="6D563478"/>
    <w:rsid w:val="6E98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uiPriority w:val="0"/>
    <w:pPr>
      <w:autoSpaceDE w:val="0"/>
      <w:autoSpaceDN w:val="0"/>
      <w:adjustRightInd w:val="0"/>
      <w:jc w:val="left"/>
    </w:pPr>
    <w:rPr>
      <w:rFonts w:ascii="黑体" w:eastAsia="黑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392</Words>
  <Characters>392</Characters>
  <Lines>3</Lines>
  <Paragraphs>1</Paragraphs>
  <TotalTime>0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2023-08-25T02:10:00Z</dcterms:created>
  <dc:creator>Administrator</dc:creator>
  <cp:lastModifiedBy>WPS_1481860299</cp:lastModifiedBy>
  <dcterms:modified xsi:type="dcterms:W3CDTF">2023-08-30T02:48:29Z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4508B528F23A47DA9B35CDA8AEEE0FAC_12</vt:lpwstr>
  </property>
</Properties>
</file>