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沅江市水运事务中心</w:t>
      </w:r>
    </w:p>
    <w:p>
      <w:pPr>
        <w:pStyle w:val="10"/>
        <w:ind w:firstLine="3360" w:firstLineChars="400"/>
        <w:jc w:val="both"/>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spacing w:line="540" w:lineRule="exact"/>
        <w:jc w:val="both"/>
        <w:rPr>
          <w:sz w:val="56"/>
          <w:szCs w:val="56"/>
        </w:rPr>
      </w:pPr>
    </w:p>
    <w:p>
      <w:pPr>
        <w:pStyle w:val="10"/>
        <w:spacing w:line="540" w:lineRule="exact"/>
        <w:jc w:val="both"/>
        <w:rPr>
          <w:sz w:val="56"/>
          <w:szCs w:val="56"/>
        </w:rPr>
      </w:pPr>
      <w:bookmarkStart w:id="3" w:name="_GoBack"/>
      <w:bookmarkEnd w:id="3"/>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XX</w:t>
      </w:r>
      <w:r>
        <w:rPr>
          <w:rFonts w:hint="eastAsia" w:ascii="黑体" w:hAnsi="黑体" w:eastAsia="黑体" w:cs="黑体"/>
          <w:b w:val="0"/>
          <w:bCs/>
          <w:sz w:val="28"/>
          <w:szCs w:val="28"/>
          <w:lang w:eastAsia="zh-CN"/>
        </w:rPr>
        <w:t>部门（</w:t>
      </w:r>
      <w:r>
        <w:rPr>
          <w:rFonts w:hint="eastAsia" w:ascii="黑体" w:hAnsi="黑体" w:eastAsia="黑体" w:cs="黑体"/>
          <w:b w:val="0"/>
          <w:bCs/>
          <w:sz w:val="28"/>
          <w:szCs w:val="28"/>
        </w:rPr>
        <w:t>单位</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沅江市水运事务中心</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numPr>
          <w:ilvl w:val="0"/>
          <w:numId w:val="0"/>
        </w:numPr>
        <w:spacing w:line="5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1）</w:t>
      </w:r>
      <w:r>
        <w:rPr>
          <w:rFonts w:ascii="仿宋" w:hAnsi="仿宋" w:eastAsia="仿宋" w:cs="宋体"/>
          <w:color w:val="000000"/>
          <w:kern w:val="0"/>
          <w:sz w:val="32"/>
          <w:szCs w:val="32"/>
        </w:rPr>
        <w:t>宣传、贯彻和执行上级有关水上交通法律、法规、规章和政策，依据交通行政主管部门委托，负责水路交通监督检查。</w:t>
      </w:r>
    </w:p>
    <w:p>
      <w:pPr>
        <w:numPr>
          <w:ilvl w:val="0"/>
          <w:numId w:val="0"/>
        </w:numPr>
        <w:spacing w:line="540" w:lineRule="exact"/>
        <w:ind w:firstLine="640" w:firstLineChars="200"/>
        <w:rPr>
          <w:rFonts w:ascii="仿宋" w:hAnsi="仿宋" w:eastAsia="仿宋"/>
          <w:sz w:val="32"/>
          <w:szCs w:val="32"/>
        </w:rPr>
      </w:pPr>
      <w:r>
        <w:rPr>
          <w:rFonts w:ascii="仿宋" w:hAnsi="仿宋" w:eastAsia="仿宋"/>
          <w:sz w:val="32"/>
          <w:szCs w:val="32"/>
        </w:rPr>
        <w:t>（2）负责编制水路交通发展规划；制定港口、码头、航道、渡口渡船的新建、改建、养护项目计划，并组织实施和管理。</w:t>
      </w:r>
    </w:p>
    <w:p>
      <w:pPr>
        <w:ind w:firstLine="640" w:firstLineChars="200"/>
        <w:rPr>
          <w:rFonts w:ascii="仿宋" w:hAnsi="仿宋" w:eastAsia="仿宋"/>
          <w:sz w:val="32"/>
          <w:szCs w:val="32"/>
        </w:rPr>
      </w:pPr>
      <w:r>
        <w:rPr>
          <w:rFonts w:ascii="仿宋" w:hAnsi="仿宋" w:eastAsia="仿宋"/>
          <w:sz w:val="32"/>
          <w:szCs w:val="32"/>
        </w:rPr>
        <w:t>（3）负责开展船舶防污染水域工作；对水运企业实施行业安全管理；划定并管理航路、禁航区、交通管制区、港外锚地和安全作业区等；负责对水上水下活动进行审核和监督检查；组织和指导水上搜助和沉船沉物打捞；管理和发布航行通（警）告；负责调查、处理水上交通事故和船舶污染事故。</w:t>
      </w:r>
    </w:p>
    <w:p>
      <w:pPr>
        <w:ind w:firstLine="640" w:firstLineChars="200"/>
        <w:rPr>
          <w:rFonts w:ascii="仿宋" w:hAnsi="仿宋" w:eastAsia="仿宋"/>
          <w:sz w:val="32"/>
          <w:szCs w:val="32"/>
        </w:rPr>
      </w:pPr>
      <w:r>
        <w:rPr>
          <w:rFonts w:ascii="仿宋" w:hAnsi="仿宋" w:eastAsia="仿宋"/>
          <w:sz w:val="32"/>
          <w:szCs w:val="32"/>
        </w:rPr>
        <w:t>（4）负责进出港船舶报告审核；负责组织水上从业人员的专业培训；负责小型船舶船员的考试发证管理。</w:t>
      </w:r>
    </w:p>
    <w:p>
      <w:pPr>
        <w:tabs>
          <w:tab w:val="left" w:pos="540"/>
        </w:tabs>
        <w:spacing w:line="560" w:lineRule="exact"/>
        <w:ind w:firstLine="640" w:firstLineChars="200"/>
        <w:rPr>
          <w:rFonts w:ascii="仿宋" w:hAnsi="仿宋" w:eastAsia="仿宋"/>
          <w:sz w:val="32"/>
          <w:szCs w:val="32"/>
        </w:rPr>
      </w:pPr>
      <w:r>
        <w:rPr>
          <w:rFonts w:ascii="仿宋" w:hAnsi="仿宋" w:eastAsia="仿宋"/>
          <w:sz w:val="32"/>
          <w:szCs w:val="32"/>
        </w:rPr>
        <w:t>（5）负责规定航道的管理和航道建设、管理，设置维护航标和助航标志；负责审查与通航有关的拦河、跨河、临河建筑物的通航标准和技术要求。</w:t>
      </w:r>
    </w:p>
    <w:p>
      <w:pPr>
        <w:spacing w:line="540" w:lineRule="exact"/>
        <w:ind w:firstLine="640" w:firstLineChars="200"/>
        <w:rPr>
          <w:rFonts w:hint="eastAsia" w:ascii="Times New Roman" w:hAnsi="Times New Roman" w:eastAsia="仿宋_GB2312" w:cs="仿宋_GB2312"/>
          <w:sz w:val="32"/>
          <w:szCs w:val="32"/>
        </w:rPr>
      </w:pPr>
      <w:r>
        <w:rPr>
          <w:rFonts w:ascii="仿宋" w:hAnsi="仿宋" w:eastAsia="仿宋"/>
          <w:sz w:val="32"/>
          <w:szCs w:val="32"/>
        </w:rPr>
        <w:t>（6）承办市委市政府和市交通运输局交办的其它事项</w:t>
      </w:r>
      <w:r>
        <w:rPr>
          <w:rFonts w:ascii="仿宋" w:hAnsi="仿宋" w:eastAsia="仿宋" w:cs="宋体"/>
          <w:color w:val="000000"/>
          <w:kern w:val="0"/>
          <w:sz w:val="32"/>
          <w:szCs w:val="32"/>
        </w:rPr>
        <w:t>。</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ind w:firstLine="640" w:firstLineChars="200"/>
        <w:rPr>
          <w:rFonts w:ascii="仿宋" w:hAnsi="仿宋" w:eastAsia="仿宋" w:cs="宋体"/>
          <w:color w:val="000000"/>
          <w:kern w:val="0"/>
          <w:sz w:val="32"/>
          <w:szCs w:val="32"/>
        </w:rPr>
      </w:pPr>
      <w:r>
        <w:rPr>
          <w:rFonts w:hint="eastAsia" w:ascii="Times New Roman" w:hAnsi="Times New Roman" w:eastAsia="仿宋_GB2312" w:cs="仿宋_GB2312"/>
          <w:bCs/>
          <w:kern w:val="0"/>
          <w:sz w:val="32"/>
          <w:szCs w:val="32"/>
        </w:rPr>
        <w:t>（一）</w:t>
      </w:r>
      <w:r>
        <w:rPr>
          <w:rFonts w:ascii="仿宋" w:hAnsi="仿宋" w:eastAsia="仿宋" w:cs="宋体"/>
          <w:color w:val="000000"/>
          <w:kern w:val="0"/>
          <w:sz w:val="32"/>
          <w:szCs w:val="32"/>
        </w:rPr>
        <w:t>沅江市水运事务中心为沅江市交通运输局所属的副科级全额拨款事业单位。共设4个股室，分别是办公室、</w:t>
      </w:r>
      <w:r>
        <w:rPr>
          <w:rFonts w:hint="eastAsia" w:ascii="仿宋" w:hAnsi="仿宋" w:eastAsia="仿宋" w:cs="宋体"/>
          <w:color w:val="000000"/>
          <w:kern w:val="0"/>
          <w:sz w:val="32"/>
          <w:szCs w:val="32"/>
          <w:lang w:eastAsia="zh-CN"/>
        </w:rPr>
        <w:t>计划</w:t>
      </w:r>
      <w:r>
        <w:rPr>
          <w:rFonts w:ascii="仿宋" w:hAnsi="仿宋" w:eastAsia="仿宋" w:cs="宋体"/>
          <w:color w:val="000000"/>
          <w:kern w:val="0"/>
          <w:sz w:val="32"/>
          <w:szCs w:val="32"/>
        </w:rPr>
        <w:t>财务股、安全环保股、运输综合股。</w:t>
      </w:r>
    </w:p>
    <w:p>
      <w:pPr>
        <w:widowControl/>
        <w:spacing w:line="600" w:lineRule="exact"/>
        <w:ind w:firstLine="640" w:firstLineChars="200"/>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rPr>
        <w:t>（二）决算单位构成。</w:t>
      </w:r>
      <w:r>
        <w:rPr>
          <w:rFonts w:hint="eastAsia" w:ascii="Times New Roman" w:hAnsi="Times New Roman" w:eastAsia="仿宋_GB2312" w:cs="仿宋_GB2312"/>
          <w:bCs/>
          <w:kern w:val="0"/>
          <w:sz w:val="32"/>
          <w:szCs w:val="32"/>
          <w:lang w:eastAsia="zh-CN"/>
        </w:rPr>
        <w:t>沅江市水运事务中心</w:t>
      </w:r>
      <w:r>
        <w:rPr>
          <w:rFonts w:hint="eastAsia" w:ascii="Times New Roman" w:hAnsi="Times New Roman" w:eastAsia="仿宋_GB2312" w:cs="仿宋_GB2312"/>
          <w:bCs/>
          <w:kern w:val="0"/>
          <w:sz w:val="32"/>
          <w:szCs w:val="32"/>
        </w:rPr>
        <w:t>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年部门决算汇总公开单位构成包括</w:t>
      </w:r>
      <w:r>
        <w:rPr>
          <w:rFonts w:hint="eastAsia" w:ascii="Times New Roman" w:hAnsi="Times New Roman" w:eastAsia="仿宋_GB2312" w:cs="仿宋_GB2312"/>
          <w:bCs/>
          <w:kern w:val="0"/>
          <w:sz w:val="32"/>
          <w:szCs w:val="32"/>
          <w:lang w:eastAsia="zh-CN"/>
        </w:rPr>
        <w:t>沅江市水运事务中心</w:t>
      </w:r>
      <w:r>
        <w:rPr>
          <w:rFonts w:hint="eastAsia" w:ascii="Times New Roman" w:hAnsi="Times New Roman" w:eastAsia="仿宋_GB2312" w:cs="仿宋_GB2312"/>
          <w:bCs/>
          <w:kern w:val="0"/>
          <w:sz w:val="32"/>
          <w:szCs w:val="32"/>
        </w:rPr>
        <w:t>本级</w:t>
      </w:r>
      <w:r>
        <w:rPr>
          <w:rFonts w:hint="eastAsia" w:ascii="Times New Roman" w:hAnsi="Times New Roman" w:eastAsia="仿宋_GB2312" w:cs="仿宋_GB2312"/>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5000" w:type="dxa"/>
        <w:tblInd w:w="0" w:type="dxa"/>
        <w:tblLayout w:type="fixed"/>
        <w:tblCellMar>
          <w:top w:w="0" w:type="dxa"/>
          <w:left w:w="0" w:type="dxa"/>
          <w:bottom w:w="0" w:type="dxa"/>
          <w:right w:w="0" w:type="dxa"/>
        </w:tblCellMar>
      </w:tblPr>
      <w:tblGrid>
        <w:gridCol w:w="297"/>
        <w:gridCol w:w="297"/>
        <w:gridCol w:w="1432"/>
        <w:gridCol w:w="1748"/>
        <w:gridCol w:w="1748"/>
        <w:gridCol w:w="1748"/>
        <w:gridCol w:w="1748"/>
        <w:gridCol w:w="1749"/>
        <w:gridCol w:w="1749"/>
        <w:gridCol w:w="2484"/>
      </w:tblGrid>
      <w:tr>
        <w:tblPrEx>
          <w:tblCellMar>
            <w:top w:w="0" w:type="dxa"/>
            <w:left w:w="0" w:type="dxa"/>
            <w:bottom w:w="0" w:type="dxa"/>
            <w:right w:w="0" w:type="dxa"/>
          </w:tblCellMar>
        </w:tblPrEx>
        <w:trPr>
          <w:trHeight w:val="90" w:hRule="atLeast"/>
        </w:trPr>
        <w:tc>
          <w:tcPr>
            <w:tcW w:w="15000" w:type="dxa"/>
            <w:gridSpan w:val="10"/>
            <w:tcBorders>
              <w:top w:val="nil"/>
              <w:left w:val="nil"/>
              <w:bottom w:val="nil"/>
              <w:right w:val="nil"/>
            </w:tcBorders>
            <w:shd w:val="clear" w:color="auto" w:fill="auto"/>
            <w:noWrap/>
            <w:tcMar>
              <w:top w:w="15" w:type="dxa"/>
              <w:left w:w="15" w:type="dxa"/>
              <w:bottom w:w="0" w:type="dxa"/>
              <w:right w:w="15" w:type="dxa"/>
            </w:tcMar>
            <w:vAlign w:val="center"/>
          </w:tcPr>
          <w:tbl>
            <w:tblPr>
              <w:tblStyle w:val="6"/>
              <w:tblW w:w="15398" w:type="dxa"/>
              <w:tblInd w:w="-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37"/>
              <w:gridCol w:w="616"/>
              <w:gridCol w:w="1398"/>
              <w:gridCol w:w="5029"/>
              <w:gridCol w:w="1164"/>
              <w:gridCol w:w="456"/>
              <w:gridCol w:w="1566"/>
              <w:gridCol w:w="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4437" w:type="dxa"/>
                  <w:tcBorders>
                    <w:top w:val="nil"/>
                    <w:left w:val="nil"/>
                    <w:bottom w:val="nil"/>
                    <w:right w:val="nil"/>
                  </w:tcBorders>
                  <w:shd w:val="clear" w:color="auto" w:fill="auto"/>
                  <w:noWrap/>
                  <w:vAlign w:val="center"/>
                </w:tcPr>
                <w:p>
                  <w:pPr>
                    <w:jc w:val="left"/>
                    <w:rPr>
                      <w:rFonts w:hint="eastAsia" w:ascii="黑体" w:hAnsi="宋体" w:eastAsia="黑体" w:cs="黑体"/>
                      <w:i w:val="0"/>
                      <w:color w:val="000000"/>
                      <w:sz w:val="24"/>
                      <w:szCs w:val="24"/>
                      <w:u w:val="none"/>
                    </w:rPr>
                  </w:pPr>
                </w:p>
              </w:tc>
              <w:tc>
                <w:tcPr>
                  <w:tcW w:w="616"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398"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5029"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620" w:type="dxa"/>
                  <w:gridSpan w:val="2"/>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2298" w:type="dxa"/>
                  <w:gridSpan w:val="2"/>
                  <w:tcBorders>
                    <w:top w:val="nil"/>
                    <w:left w:val="nil"/>
                    <w:bottom w:val="nil"/>
                    <w:right w:val="nil"/>
                  </w:tcBorders>
                  <w:shd w:val="clear" w:color="auto" w:fill="auto"/>
                  <w:noWrap/>
                  <w:vAlign w:val="center"/>
                </w:tcPr>
                <w:p>
                  <w:pPr>
                    <w:jc w:val="righ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539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4437"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616"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398"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029"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620"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298" w:type="dxa"/>
                  <w:gridSpan w:val="2"/>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4437"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部门：沅江市水运事务中心</w:t>
                  </w:r>
                </w:p>
              </w:tc>
              <w:tc>
                <w:tcPr>
                  <w:tcW w:w="616"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398"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029"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620"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298" w:type="dxa"/>
                  <w:gridSpan w:val="2"/>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32" w:type="dxa"/>
                <w:trHeight w:val="448" w:hRule="atLeast"/>
              </w:trPr>
              <w:tc>
                <w:tcPr>
                  <w:tcW w:w="6451"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8215"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32" w:type="dxa"/>
                <w:trHeight w:val="628" w:hRule="atLeast"/>
              </w:trPr>
              <w:tc>
                <w:tcPr>
                  <w:tcW w:w="4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50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11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32" w:type="dxa"/>
                <w:trHeight w:val="448" w:hRule="atLeast"/>
              </w:trPr>
              <w:tc>
                <w:tcPr>
                  <w:tcW w:w="4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13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0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11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32" w:type="dxa"/>
                <w:trHeight w:val="448" w:hRule="atLeast"/>
              </w:trPr>
              <w:tc>
                <w:tcPr>
                  <w:tcW w:w="4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585.09</w:t>
                  </w:r>
                </w:p>
              </w:tc>
              <w:tc>
                <w:tcPr>
                  <w:tcW w:w="50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1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32" w:type="dxa"/>
                <w:trHeight w:val="448" w:hRule="atLeast"/>
              </w:trPr>
              <w:tc>
                <w:tcPr>
                  <w:tcW w:w="4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70.45</w:t>
                  </w:r>
                </w:p>
              </w:tc>
              <w:tc>
                <w:tcPr>
                  <w:tcW w:w="50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1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32" w:type="dxa"/>
                <w:trHeight w:val="448" w:hRule="atLeast"/>
              </w:trPr>
              <w:tc>
                <w:tcPr>
                  <w:tcW w:w="4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1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32" w:type="dxa"/>
                <w:trHeight w:val="448" w:hRule="atLeast"/>
              </w:trPr>
              <w:tc>
                <w:tcPr>
                  <w:tcW w:w="4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1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32" w:type="dxa"/>
                <w:trHeight w:val="448" w:hRule="atLeast"/>
              </w:trPr>
              <w:tc>
                <w:tcPr>
                  <w:tcW w:w="4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11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572.37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32" w:type="dxa"/>
                <w:trHeight w:val="448" w:hRule="atLeast"/>
              </w:trPr>
              <w:tc>
                <w:tcPr>
                  <w:tcW w:w="4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11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32" w:type="dxa"/>
                <w:trHeight w:val="448" w:hRule="atLeast"/>
              </w:trPr>
              <w:tc>
                <w:tcPr>
                  <w:tcW w:w="4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二十三、其他支出</w:t>
                  </w:r>
                </w:p>
              </w:tc>
              <w:tc>
                <w:tcPr>
                  <w:tcW w:w="11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32" w:type="dxa"/>
                <w:trHeight w:val="448" w:hRule="atLeast"/>
              </w:trPr>
              <w:tc>
                <w:tcPr>
                  <w:tcW w:w="4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5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32" w:type="dxa"/>
                <w:trHeight w:val="448" w:hRule="atLeast"/>
              </w:trPr>
              <w:tc>
                <w:tcPr>
                  <w:tcW w:w="4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32" w:type="dxa"/>
                <w:trHeight w:val="448" w:hRule="atLeast"/>
              </w:trPr>
              <w:tc>
                <w:tcPr>
                  <w:tcW w:w="4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657.54</w:t>
                  </w:r>
                </w:p>
              </w:tc>
              <w:tc>
                <w:tcPr>
                  <w:tcW w:w="5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1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657.54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32" w:type="dxa"/>
                <w:trHeight w:val="448" w:hRule="atLeast"/>
              </w:trPr>
              <w:tc>
                <w:tcPr>
                  <w:tcW w:w="4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使用非财政拨款结余</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结余分配</w:t>
                  </w:r>
                </w:p>
              </w:tc>
              <w:tc>
                <w:tcPr>
                  <w:tcW w:w="11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32" w:type="dxa"/>
                <w:trHeight w:val="628" w:hRule="atLeast"/>
              </w:trPr>
              <w:tc>
                <w:tcPr>
                  <w:tcW w:w="4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11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32" w:type="dxa"/>
                <w:trHeight w:val="448" w:hRule="atLeast"/>
              </w:trPr>
              <w:tc>
                <w:tcPr>
                  <w:tcW w:w="4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657.54</w:t>
                  </w:r>
                </w:p>
              </w:tc>
              <w:tc>
                <w:tcPr>
                  <w:tcW w:w="50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1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657.54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15398"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注：1.本表反映部门本年度的总收支和年末结转结余情况。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2.本套报表金额单位转换时可能存在尾数误差。</w:t>
                  </w:r>
                </w:p>
              </w:tc>
            </w:tr>
          </w:tbl>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90" w:hRule="atLeast"/>
        </w:trPr>
        <w:tc>
          <w:tcPr>
            <w:tcW w:w="29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9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3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4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4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4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4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4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4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8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90" w:hRule="atLeast"/>
        </w:trPr>
        <w:tc>
          <w:tcPr>
            <w:tcW w:w="594"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143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16"/>
                <w:szCs w:val="16"/>
              </w:rPr>
            </w:pPr>
            <w:r>
              <w:rPr>
                <w:rFonts w:hint="eastAsia"/>
                <w:sz w:val="15"/>
                <w:szCs w:val="15"/>
                <w:lang w:eastAsia="zh-CN"/>
              </w:rPr>
              <w:t>沅江市水运事务中心</w:t>
            </w:r>
            <w:r>
              <w:rPr>
                <w:rFonts w:hint="eastAsia"/>
                <w:sz w:val="16"/>
                <w:szCs w:val="16"/>
              </w:rPr>
              <w:t>　</w:t>
            </w:r>
          </w:p>
        </w:tc>
        <w:tc>
          <w:tcPr>
            <w:tcW w:w="174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16"/>
                <w:szCs w:val="16"/>
              </w:rPr>
            </w:pPr>
            <w:r>
              <w:rPr>
                <w:rFonts w:hint="eastAsia"/>
                <w:sz w:val="16"/>
                <w:szCs w:val="16"/>
              </w:rPr>
              <w:t>　</w:t>
            </w:r>
          </w:p>
        </w:tc>
        <w:tc>
          <w:tcPr>
            <w:tcW w:w="174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48"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74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4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4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8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90" w:hRule="atLeast"/>
        </w:trPr>
        <w:tc>
          <w:tcPr>
            <w:tcW w:w="2026"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74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74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74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74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74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74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48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312" w:hRule="atLeast"/>
        </w:trPr>
        <w:tc>
          <w:tcPr>
            <w:tcW w:w="59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432"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7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8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312" w:hRule="atLeast"/>
        </w:trPr>
        <w:tc>
          <w:tcPr>
            <w:tcW w:w="59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3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4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8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90" w:hRule="atLeast"/>
        </w:trPr>
        <w:tc>
          <w:tcPr>
            <w:tcW w:w="202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74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74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74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74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74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74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48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90" w:hRule="atLeast"/>
        </w:trPr>
        <w:tc>
          <w:tcPr>
            <w:tcW w:w="202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657.54</w:t>
            </w:r>
            <w:r>
              <w:rPr>
                <w:rFonts w:hint="eastAsia"/>
              </w:rPr>
              <w:t>　</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657.54</w:t>
            </w:r>
            <w:r>
              <w:rPr>
                <w:rFonts w:hint="eastAsia"/>
              </w:rPr>
              <w:t>　</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248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w:t>
            </w:r>
            <w:r>
              <w:rPr>
                <w:rFonts w:hint="eastAsia"/>
              </w:rPr>
              <w:t>　</w:t>
            </w:r>
          </w:p>
        </w:tc>
      </w:tr>
      <w:tr>
        <w:tblPrEx>
          <w:tblCellMar>
            <w:top w:w="0" w:type="dxa"/>
            <w:left w:w="0" w:type="dxa"/>
            <w:bottom w:w="0" w:type="dxa"/>
            <w:right w:w="0" w:type="dxa"/>
          </w:tblCellMar>
        </w:tblPrEx>
        <w:trPr>
          <w:trHeight w:val="9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16"/>
                <w:szCs w:val="16"/>
                <w:lang w:val="en-US" w:eastAsia="zh-CN"/>
              </w:rPr>
            </w:pPr>
            <w:r>
              <w:rPr>
                <w:rFonts w:hint="eastAsia"/>
                <w:sz w:val="16"/>
                <w:szCs w:val="16"/>
                <w:lang w:val="en-US" w:eastAsia="zh-CN"/>
              </w:rPr>
              <w:t>214</w:t>
            </w:r>
          </w:p>
        </w:tc>
        <w:tc>
          <w:tcPr>
            <w:tcW w:w="143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16"/>
                <w:szCs w:val="16"/>
                <w:lang w:eastAsia="zh-CN"/>
              </w:rPr>
            </w:pPr>
            <w:r>
              <w:rPr>
                <w:rFonts w:hint="eastAsia"/>
                <w:sz w:val="16"/>
                <w:szCs w:val="16"/>
                <w:lang w:eastAsia="zh-CN"/>
              </w:rPr>
              <w:t>交通运输支出</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sz w:val="22"/>
                <w:szCs w:val="22"/>
                <w:lang w:val="en-US" w:eastAsia="zh-CN"/>
              </w:rPr>
              <w:t>572.37</w:t>
            </w:r>
            <w:r>
              <w:rPr>
                <w:rFonts w:hint="eastAsia"/>
                <w:sz w:val="22"/>
                <w:szCs w:val="22"/>
              </w:rPr>
              <w:t>　</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sz w:val="22"/>
                <w:szCs w:val="22"/>
                <w:lang w:val="en-US" w:eastAsia="zh-CN"/>
              </w:rPr>
              <w:t>572.37</w:t>
            </w:r>
            <w:r>
              <w:rPr>
                <w:rFonts w:hint="eastAsia"/>
                <w:sz w:val="22"/>
                <w:szCs w:val="22"/>
              </w:rPr>
              <w:t>　</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248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sz w:val="22"/>
                <w:szCs w:val="22"/>
                <w:lang w:val="en-US" w:eastAsia="zh-CN"/>
              </w:rPr>
              <w:t>2</w:t>
            </w:r>
            <w:r>
              <w:rPr>
                <w:rFonts w:hint="eastAsia"/>
                <w:sz w:val="22"/>
                <w:szCs w:val="22"/>
              </w:rPr>
              <w:t>　</w:t>
            </w:r>
          </w:p>
        </w:tc>
      </w:tr>
      <w:tr>
        <w:tblPrEx>
          <w:tblCellMar>
            <w:top w:w="0" w:type="dxa"/>
            <w:left w:w="0" w:type="dxa"/>
            <w:bottom w:w="0" w:type="dxa"/>
            <w:right w:w="0" w:type="dxa"/>
          </w:tblCellMar>
        </w:tblPrEx>
        <w:trPr>
          <w:trHeight w:val="9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16"/>
                <w:szCs w:val="16"/>
                <w:lang w:val="en-US" w:eastAsia="zh-CN"/>
              </w:rPr>
            </w:pPr>
            <w:r>
              <w:rPr>
                <w:rFonts w:hint="eastAsia"/>
                <w:sz w:val="16"/>
                <w:szCs w:val="16"/>
                <w:lang w:val="en-US" w:eastAsia="zh-CN"/>
              </w:rPr>
              <w:t>21401</w:t>
            </w:r>
          </w:p>
        </w:tc>
        <w:tc>
          <w:tcPr>
            <w:tcW w:w="143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16"/>
                <w:szCs w:val="16"/>
                <w:lang w:eastAsia="zh-CN"/>
              </w:rPr>
            </w:pPr>
            <w:r>
              <w:rPr>
                <w:rFonts w:hint="eastAsia"/>
                <w:sz w:val="16"/>
                <w:szCs w:val="16"/>
                <w:lang w:eastAsia="zh-CN"/>
              </w:rPr>
              <w:t>公路水路运输</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华文中宋" w:hAnsi="华文中宋" w:eastAsia="华文中宋" w:cs="宋体"/>
                <w:sz w:val="22"/>
                <w:szCs w:val="22"/>
              </w:rPr>
            </w:pPr>
            <w:r>
              <w:rPr>
                <w:rFonts w:hint="eastAsia" w:ascii="华文中宋" w:hAnsi="华文中宋" w:eastAsia="华文中宋"/>
                <w:sz w:val="22"/>
                <w:szCs w:val="22"/>
                <w:lang w:val="en-US" w:eastAsia="zh-CN"/>
              </w:rPr>
              <w:t>572.37</w:t>
            </w:r>
            <w:r>
              <w:rPr>
                <w:rFonts w:hint="eastAsia" w:ascii="华文中宋" w:hAnsi="华文中宋" w:eastAsia="华文中宋"/>
                <w:sz w:val="22"/>
                <w:szCs w:val="22"/>
              </w:rPr>
              <w:t>　</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sz w:val="22"/>
                <w:szCs w:val="22"/>
                <w:lang w:val="en-US" w:eastAsia="zh-CN"/>
              </w:rPr>
              <w:t>572.37</w:t>
            </w:r>
            <w:r>
              <w:rPr>
                <w:rFonts w:hint="eastAsia"/>
                <w:sz w:val="22"/>
                <w:szCs w:val="22"/>
              </w:rPr>
              <w:t>　</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248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sz w:val="22"/>
                <w:szCs w:val="22"/>
                <w:lang w:val="en-US" w:eastAsia="zh-CN"/>
              </w:rPr>
              <w:t>2</w:t>
            </w:r>
            <w:r>
              <w:rPr>
                <w:rFonts w:hint="eastAsia"/>
                <w:sz w:val="22"/>
                <w:szCs w:val="22"/>
              </w:rPr>
              <w:t>　</w:t>
            </w:r>
          </w:p>
        </w:tc>
      </w:tr>
      <w:tr>
        <w:tblPrEx>
          <w:tblCellMar>
            <w:top w:w="0" w:type="dxa"/>
            <w:left w:w="0" w:type="dxa"/>
            <w:bottom w:w="0" w:type="dxa"/>
            <w:right w:w="0" w:type="dxa"/>
          </w:tblCellMar>
        </w:tblPrEx>
        <w:trPr>
          <w:trHeight w:val="9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sz w:val="16"/>
                <w:szCs w:val="16"/>
                <w:lang w:val="en-US" w:eastAsia="zh-CN"/>
              </w:rPr>
            </w:pPr>
            <w:r>
              <w:rPr>
                <w:rFonts w:hint="eastAsia"/>
                <w:sz w:val="16"/>
                <w:szCs w:val="16"/>
                <w:lang w:val="en-US" w:eastAsia="zh-CN"/>
              </w:rPr>
              <w:t>2140131</w:t>
            </w:r>
          </w:p>
        </w:tc>
        <w:tc>
          <w:tcPr>
            <w:tcW w:w="143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sz w:val="16"/>
                <w:szCs w:val="16"/>
                <w:lang w:eastAsia="zh-CN"/>
              </w:rPr>
            </w:pPr>
            <w:r>
              <w:rPr>
                <w:rFonts w:hint="eastAsia"/>
                <w:sz w:val="16"/>
                <w:szCs w:val="16"/>
                <w:lang w:eastAsia="zh-CN"/>
              </w:rPr>
              <w:t>海事管理</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sz w:val="22"/>
                <w:szCs w:val="22"/>
                <w:lang w:val="en-US" w:eastAsia="zh-CN"/>
              </w:rPr>
            </w:pPr>
            <w:r>
              <w:rPr>
                <w:rFonts w:hint="eastAsia"/>
                <w:sz w:val="22"/>
                <w:szCs w:val="22"/>
                <w:lang w:val="en-US" w:eastAsia="zh-CN"/>
              </w:rPr>
              <w:t>414.37</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sz w:val="22"/>
                <w:szCs w:val="22"/>
                <w:lang w:val="en-US" w:eastAsia="zh-CN"/>
              </w:rPr>
            </w:pPr>
            <w:r>
              <w:rPr>
                <w:rFonts w:hint="eastAsia"/>
                <w:sz w:val="22"/>
                <w:szCs w:val="22"/>
                <w:lang w:val="en-US" w:eastAsia="zh-CN"/>
              </w:rPr>
              <w:t>414.37</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c>
          <w:tcPr>
            <w:tcW w:w="248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r>
      <w:tr>
        <w:tblPrEx>
          <w:tblCellMar>
            <w:top w:w="0" w:type="dxa"/>
            <w:left w:w="0" w:type="dxa"/>
            <w:bottom w:w="0" w:type="dxa"/>
            <w:right w:w="0" w:type="dxa"/>
          </w:tblCellMar>
        </w:tblPrEx>
        <w:trPr>
          <w:trHeight w:val="9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sz w:val="16"/>
                <w:szCs w:val="16"/>
                <w:lang w:val="en-US" w:eastAsia="zh-CN"/>
              </w:rPr>
            </w:pPr>
            <w:r>
              <w:rPr>
                <w:rFonts w:hint="eastAsia"/>
                <w:sz w:val="16"/>
                <w:szCs w:val="16"/>
                <w:lang w:val="en-US" w:eastAsia="zh-CN"/>
              </w:rPr>
              <w:t>2140199</w:t>
            </w:r>
          </w:p>
        </w:tc>
        <w:tc>
          <w:tcPr>
            <w:tcW w:w="143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sz w:val="16"/>
                <w:szCs w:val="16"/>
                <w:lang w:eastAsia="zh-CN"/>
              </w:rPr>
            </w:pPr>
            <w:r>
              <w:rPr>
                <w:rFonts w:hint="eastAsia"/>
                <w:sz w:val="16"/>
                <w:szCs w:val="16"/>
                <w:lang w:eastAsia="zh-CN"/>
              </w:rPr>
              <w:t>其他公路水路运输支出</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sz w:val="22"/>
                <w:szCs w:val="22"/>
                <w:lang w:val="en-US" w:eastAsia="zh-CN"/>
              </w:rPr>
            </w:pPr>
            <w:r>
              <w:rPr>
                <w:rFonts w:hint="eastAsia"/>
                <w:sz w:val="22"/>
                <w:szCs w:val="22"/>
                <w:lang w:val="en-US" w:eastAsia="zh-CN"/>
              </w:rPr>
              <w:t>158.00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sz w:val="22"/>
                <w:szCs w:val="22"/>
                <w:lang w:val="en-US" w:eastAsia="zh-CN"/>
              </w:rPr>
            </w:pPr>
            <w:r>
              <w:rPr>
                <w:rFonts w:hint="eastAsia"/>
                <w:sz w:val="22"/>
                <w:szCs w:val="22"/>
                <w:lang w:val="en-US" w:eastAsia="zh-CN"/>
              </w:rPr>
              <w:t>158.00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c>
          <w:tcPr>
            <w:tcW w:w="248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r>
      <w:tr>
        <w:tblPrEx>
          <w:tblCellMar>
            <w:top w:w="0" w:type="dxa"/>
            <w:left w:w="0" w:type="dxa"/>
            <w:bottom w:w="0" w:type="dxa"/>
            <w:right w:w="0" w:type="dxa"/>
          </w:tblCellMar>
        </w:tblPrEx>
        <w:trPr>
          <w:trHeight w:val="9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sz w:val="16"/>
                <w:szCs w:val="16"/>
                <w:lang w:val="en-US" w:eastAsia="zh-CN"/>
              </w:rPr>
            </w:pPr>
            <w:r>
              <w:rPr>
                <w:rFonts w:hint="eastAsia"/>
                <w:sz w:val="16"/>
                <w:szCs w:val="16"/>
                <w:lang w:val="en-US" w:eastAsia="zh-CN"/>
              </w:rPr>
              <w:t>221</w:t>
            </w:r>
          </w:p>
        </w:tc>
        <w:tc>
          <w:tcPr>
            <w:tcW w:w="143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sz w:val="16"/>
                <w:szCs w:val="16"/>
                <w:lang w:eastAsia="zh-CN"/>
              </w:rPr>
            </w:pPr>
            <w:r>
              <w:rPr>
                <w:rFonts w:hint="eastAsia"/>
                <w:sz w:val="16"/>
                <w:szCs w:val="16"/>
                <w:lang w:eastAsia="zh-CN"/>
              </w:rPr>
              <w:t>住房保障支出</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sz w:val="22"/>
                <w:szCs w:val="22"/>
                <w:lang w:val="en-US" w:eastAsia="zh-CN"/>
              </w:rPr>
            </w:pPr>
            <w:r>
              <w:rPr>
                <w:rFonts w:hint="eastAsia"/>
                <w:sz w:val="22"/>
                <w:szCs w:val="22"/>
                <w:lang w:val="en-US" w:eastAsia="zh-CN"/>
              </w:rPr>
              <w:t>14.72</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sz w:val="22"/>
                <w:szCs w:val="22"/>
                <w:lang w:val="en-US" w:eastAsia="zh-CN"/>
              </w:rPr>
            </w:pPr>
            <w:r>
              <w:rPr>
                <w:rFonts w:hint="eastAsia"/>
                <w:sz w:val="22"/>
                <w:szCs w:val="22"/>
                <w:lang w:val="en-US" w:eastAsia="zh-CN"/>
              </w:rPr>
              <w:t>14.72</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c>
          <w:tcPr>
            <w:tcW w:w="248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r>
      <w:tr>
        <w:tblPrEx>
          <w:tblCellMar>
            <w:top w:w="0" w:type="dxa"/>
            <w:left w:w="0" w:type="dxa"/>
            <w:bottom w:w="0" w:type="dxa"/>
            <w:right w:w="0" w:type="dxa"/>
          </w:tblCellMar>
        </w:tblPrEx>
        <w:trPr>
          <w:trHeight w:val="9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sz w:val="16"/>
                <w:szCs w:val="16"/>
                <w:lang w:val="en-US" w:eastAsia="zh-CN"/>
              </w:rPr>
            </w:pPr>
            <w:r>
              <w:rPr>
                <w:rFonts w:hint="eastAsia"/>
                <w:sz w:val="16"/>
                <w:szCs w:val="16"/>
                <w:lang w:val="en-US" w:eastAsia="zh-CN"/>
              </w:rPr>
              <w:t>22012</w:t>
            </w:r>
          </w:p>
        </w:tc>
        <w:tc>
          <w:tcPr>
            <w:tcW w:w="143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sz w:val="16"/>
                <w:szCs w:val="16"/>
                <w:lang w:eastAsia="zh-CN"/>
              </w:rPr>
            </w:pPr>
            <w:r>
              <w:rPr>
                <w:rFonts w:hint="eastAsia"/>
                <w:sz w:val="16"/>
                <w:szCs w:val="16"/>
                <w:lang w:eastAsia="zh-CN"/>
              </w:rPr>
              <w:t>住房改革支出</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sz w:val="22"/>
                <w:szCs w:val="22"/>
                <w:lang w:val="en-US" w:eastAsia="zh-CN"/>
              </w:rPr>
            </w:pPr>
            <w:r>
              <w:rPr>
                <w:rFonts w:hint="eastAsia"/>
                <w:sz w:val="22"/>
                <w:szCs w:val="22"/>
                <w:lang w:val="en-US" w:eastAsia="zh-CN"/>
              </w:rPr>
              <w:t>14.72</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sz w:val="22"/>
                <w:szCs w:val="22"/>
                <w:lang w:val="en-US" w:eastAsia="zh-CN"/>
              </w:rPr>
            </w:pPr>
            <w:r>
              <w:rPr>
                <w:rFonts w:hint="eastAsia"/>
                <w:sz w:val="22"/>
                <w:szCs w:val="22"/>
                <w:lang w:val="en-US" w:eastAsia="zh-CN"/>
              </w:rPr>
              <w:t>14.72</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c>
          <w:tcPr>
            <w:tcW w:w="248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sz w:val="22"/>
                <w:szCs w:val="22"/>
              </w:rPr>
            </w:pPr>
            <w:r>
              <w:rPr>
                <w:rFonts w:hint="eastAsia"/>
                <w:lang w:val="en-US" w:eastAsia="zh-CN"/>
              </w:rPr>
              <w:t>0.00</w:t>
            </w:r>
          </w:p>
        </w:tc>
      </w:tr>
      <w:tr>
        <w:tblPrEx>
          <w:tblCellMar>
            <w:top w:w="0" w:type="dxa"/>
            <w:left w:w="0" w:type="dxa"/>
            <w:bottom w:w="0" w:type="dxa"/>
            <w:right w:w="0" w:type="dxa"/>
          </w:tblCellMar>
        </w:tblPrEx>
        <w:trPr>
          <w:trHeight w:val="9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16"/>
                <w:szCs w:val="16"/>
                <w:lang w:val="en-US" w:eastAsia="zh-CN"/>
              </w:rPr>
            </w:pPr>
            <w:r>
              <w:rPr>
                <w:rFonts w:hint="eastAsia"/>
                <w:sz w:val="15"/>
                <w:szCs w:val="15"/>
                <w:lang w:val="en-US" w:eastAsia="zh-CN"/>
              </w:rPr>
              <w:t>221021</w:t>
            </w:r>
          </w:p>
        </w:tc>
        <w:tc>
          <w:tcPr>
            <w:tcW w:w="143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16"/>
                <w:szCs w:val="16"/>
                <w:lang w:eastAsia="zh-CN"/>
              </w:rPr>
            </w:pPr>
            <w:r>
              <w:rPr>
                <w:rFonts w:hint="eastAsia"/>
                <w:sz w:val="16"/>
                <w:szCs w:val="16"/>
                <w:lang w:eastAsia="zh-CN"/>
              </w:rPr>
              <w:t>住房公积金</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sz w:val="22"/>
                <w:szCs w:val="22"/>
                <w:lang w:val="en-US" w:eastAsia="zh-CN"/>
              </w:rPr>
              <w:t>14.72</w:t>
            </w:r>
            <w:r>
              <w:rPr>
                <w:rFonts w:hint="eastAsia"/>
                <w:sz w:val="22"/>
                <w:szCs w:val="22"/>
              </w:rPr>
              <w:t>　</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sz w:val="22"/>
                <w:szCs w:val="22"/>
                <w:lang w:val="en-US" w:eastAsia="zh-CN"/>
              </w:rPr>
              <w:t>14.72</w:t>
            </w:r>
            <w:r>
              <w:rPr>
                <w:rFonts w:hint="eastAsia"/>
                <w:sz w:val="22"/>
                <w:szCs w:val="22"/>
              </w:rPr>
              <w:t>　</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248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r>
      <w:tr>
        <w:tblPrEx>
          <w:tblCellMar>
            <w:top w:w="0" w:type="dxa"/>
            <w:left w:w="0" w:type="dxa"/>
            <w:bottom w:w="0" w:type="dxa"/>
            <w:right w:w="0" w:type="dxa"/>
          </w:tblCellMar>
        </w:tblPrEx>
        <w:trPr>
          <w:trHeight w:val="9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16"/>
                <w:szCs w:val="16"/>
                <w:lang w:val="en-US" w:eastAsia="zh-CN"/>
              </w:rPr>
            </w:pPr>
            <w:r>
              <w:rPr>
                <w:rFonts w:hint="eastAsia"/>
                <w:sz w:val="16"/>
                <w:szCs w:val="16"/>
              </w:rPr>
              <w:t>　</w:t>
            </w:r>
            <w:r>
              <w:rPr>
                <w:rFonts w:hint="eastAsia"/>
                <w:sz w:val="16"/>
                <w:szCs w:val="16"/>
                <w:lang w:val="en-US" w:eastAsia="zh-CN"/>
              </w:rPr>
              <w:t>229</w:t>
            </w:r>
          </w:p>
        </w:tc>
        <w:tc>
          <w:tcPr>
            <w:tcW w:w="143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16"/>
                <w:szCs w:val="16"/>
                <w:lang w:eastAsia="zh-CN"/>
              </w:rPr>
            </w:pPr>
            <w:r>
              <w:rPr>
                <w:rFonts w:hint="eastAsia"/>
                <w:sz w:val="16"/>
                <w:szCs w:val="16"/>
                <w:lang w:eastAsia="zh-CN"/>
              </w:rPr>
              <w:t>其他支出</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sz w:val="22"/>
                <w:szCs w:val="22"/>
                <w:lang w:val="en-US" w:eastAsia="zh-CN"/>
              </w:rPr>
              <w:t>70.45</w:t>
            </w:r>
            <w:r>
              <w:rPr>
                <w:rFonts w:hint="eastAsia"/>
                <w:sz w:val="22"/>
                <w:szCs w:val="22"/>
              </w:rPr>
              <w:t>　</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sz w:val="22"/>
                <w:szCs w:val="22"/>
                <w:lang w:val="en-US" w:eastAsia="zh-CN"/>
              </w:rPr>
              <w:t>70.45</w:t>
            </w:r>
            <w:r>
              <w:rPr>
                <w:rFonts w:hint="eastAsia"/>
                <w:sz w:val="22"/>
                <w:szCs w:val="22"/>
              </w:rPr>
              <w:t>　</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248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r>
      <w:tr>
        <w:tblPrEx>
          <w:tblCellMar>
            <w:top w:w="0" w:type="dxa"/>
            <w:left w:w="0" w:type="dxa"/>
            <w:bottom w:w="0" w:type="dxa"/>
            <w:right w:w="0" w:type="dxa"/>
          </w:tblCellMar>
        </w:tblPrEx>
        <w:trPr>
          <w:trHeight w:val="9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16"/>
                <w:szCs w:val="16"/>
                <w:lang w:val="en-US" w:eastAsia="zh-CN"/>
              </w:rPr>
            </w:pPr>
            <w:r>
              <w:rPr>
                <w:rFonts w:hint="eastAsia"/>
                <w:sz w:val="16"/>
                <w:szCs w:val="16"/>
              </w:rPr>
              <w:t>　</w:t>
            </w:r>
            <w:r>
              <w:rPr>
                <w:rFonts w:hint="eastAsia"/>
                <w:sz w:val="16"/>
                <w:szCs w:val="16"/>
                <w:lang w:val="en-US" w:eastAsia="zh-CN"/>
              </w:rPr>
              <w:t>22904</w:t>
            </w:r>
          </w:p>
        </w:tc>
        <w:tc>
          <w:tcPr>
            <w:tcW w:w="143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5"/>
                <w:szCs w:val="15"/>
                <w:u w:val="none"/>
                <w:lang w:val="en-US" w:eastAsia="zh-CN" w:bidi="ar"/>
              </w:rPr>
              <w:t>其他政府性基金及对应专项债务收入安排的支出</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sz w:val="22"/>
                <w:szCs w:val="22"/>
                <w:lang w:val="en-US" w:eastAsia="zh-CN"/>
              </w:rPr>
              <w:t>70.45</w:t>
            </w:r>
            <w:r>
              <w:rPr>
                <w:rFonts w:hint="eastAsia"/>
                <w:sz w:val="22"/>
                <w:szCs w:val="22"/>
              </w:rPr>
              <w:t>　</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sz w:val="22"/>
                <w:szCs w:val="22"/>
                <w:lang w:val="en-US" w:eastAsia="zh-CN"/>
              </w:rPr>
              <w:t>70.45</w:t>
            </w:r>
            <w:r>
              <w:rPr>
                <w:rFonts w:hint="eastAsia"/>
                <w:sz w:val="22"/>
                <w:szCs w:val="22"/>
              </w:rPr>
              <w:t>　</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248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r>
      <w:tr>
        <w:tblPrEx>
          <w:tblCellMar>
            <w:top w:w="0" w:type="dxa"/>
            <w:left w:w="0" w:type="dxa"/>
            <w:bottom w:w="0" w:type="dxa"/>
            <w:right w:w="0" w:type="dxa"/>
          </w:tblCellMar>
        </w:tblPrEx>
        <w:trPr>
          <w:trHeight w:val="9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15"/>
                <w:szCs w:val="15"/>
                <w:lang w:val="en-US" w:eastAsia="zh-CN"/>
              </w:rPr>
            </w:pPr>
            <w:r>
              <w:rPr>
                <w:rFonts w:hint="eastAsia"/>
                <w:sz w:val="16"/>
                <w:szCs w:val="16"/>
              </w:rPr>
              <w:t>　</w:t>
            </w:r>
            <w:r>
              <w:rPr>
                <w:rFonts w:hint="eastAsia"/>
                <w:sz w:val="15"/>
                <w:szCs w:val="15"/>
                <w:lang w:val="en-US" w:eastAsia="zh-CN"/>
              </w:rPr>
              <w:t>2290401</w:t>
            </w:r>
          </w:p>
        </w:tc>
        <w:tc>
          <w:tcPr>
            <w:tcW w:w="143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16"/>
                <w:szCs w:val="16"/>
                <w:lang w:eastAsia="zh-CN"/>
              </w:rPr>
            </w:pPr>
            <w:r>
              <w:rPr>
                <w:rFonts w:hint="eastAsia"/>
                <w:sz w:val="16"/>
                <w:szCs w:val="16"/>
                <w:lang w:eastAsia="zh-CN"/>
              </w:rPr>
              <w:t>其他政府性基金安排的支出</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sz w:val="22"/>
                <w:szCs w:val="22"/>
                <w:lang w:val="en-US" w:eastAsia="zh-CN"/>
              </w:rPr>
              <w:t>70.45</w:t>
            </w:r>
            <w:r>
              <w:rPr>
                <w:rFonts w:hint="eastAsia"/>
                <w:sz w:val="22"/>
                <w:szCs w:val="22"/>
              </w:rPr>
              <w:t>　</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sz w:val="22"/>
                <w:szCs w:val="22"/>
                <w:lang w:val="en-US" w:eastAsia="zh-CN"/>
              </w:rPr>
              <w:t>70.45</w:t>
            </w:r>
            <w:r>
              <w:rPr>
                <w:rFonts w:hint="eastAsia"/>
                <w:sz w:val="22"/>
                <w:szCs w:val="22"/>
              </w:rPr>
              <w:t>　</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17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c>
          <w:tcPr>
            <w:tcW w:w="248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2"/>
                <w:szCs w:val="22"/>
              </w:rPr>
            </w:pPr>
            <w:r>
              <w:rPr>
                <w:rFonts w:hint="eastAsia"/>
                <w:lang w:val="en-US" w:eastAsia="zh-CN"/>
              </w:rPr>
              <w:t>0.00</w:t>
            </w:r>
          </w:p>
        </w:tc>
      </w:tr>
      <w:tr>
        <w:tblPrEx>
          <w:tblCellMar>
            <w:top w:w="0" w:type="dxa"/>
            <w:left w:w="0" w:type="dxa"/>
            <w:bottom w:w="0" w:type="dxa"/>
            <w:right w:w="0" w:type="dxa"/>
          </w:tblCellMar>
        </w:tblPrEx>
        <w:trPr>
          <w:trHeight w:val="90" w:hRule="atLeast"/>
        </w:trPr>
        <w:tc>
          <w:tcPr>
            <w:tcW w:w="150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r>
        <w:tblPrEx>
          <w:tblCellMar>
            <w:top w:w="0" w:type="dxa"/>
            <w:left w:w="0" w:type="dxa"/>
            <w:bottom w:w="0" w:type="dxa"/>
            <w:right w:w="0" w:type="dxa"/>
          </w:tblCellMar>
        </w:tblPrEx>
        <w:trPr>
          <w:trHeight w:val="90" w:hRule="atLeast"/>
        </w:trPr>
        <w:tc>
          <w:tcPr>
            <w:tcW w:w="150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hint="eastAsia"/>
              </w:rPr>
            </w:pP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p>
    <w:p>
      <w:pPr>
        <w:widowControl/>
        <w:rPr>
          <w:rFonts w:ascii="Times New Roman" w:hAnsi="Times New Roman" w:eastAsia="方正小标宋_GBK" w:cs="Times New Roman"/>
          <w:color w:val="000000"/>
          <w:kern w:val="0"/>
          <w:sz w:val="36"/>
          <w:szCs w:val="36"/>
        </w:rPr>
      </w:pPr>
    </w:p>
    <w:tbl>
      <w:tblPr>
        <w:tblStyle w:val="6"/>
        <w:tblW w:w="15640" w:type="dxa"/>
        <w:tblInd w:w="93" w:type="dxa"/>
        <w:tblLayout w:type="autofit"/>
        <w:tblCellMar>
          <w:top w:w="0" w:type="dxa"/>
          <w:left w:w="108" w:type="dxa"/>
          <w:bottom w:w="0" w:type="dxa"/>
          <w:right w:w="108" w:type="dxa"/>
        </w:tblCellMar>
      </w:tblPr>
      <w:tblGrid>
        <w:gridCol w:w="1236"/>
        <w:gridCol w:w="263"/>
        <w:gridCol w:w="1481"/>
        <w:gridCol w:w="1952"/>
        <w:gridCol w:w="1991"/>
        <w:gridCol w:w="1991"/>
        <w:gridCol w:w="1991"/>
        <w:gridCol w:w="1991"/>
        <w:gridCol w:w="2744"/>
      </w:tblGrid>
      <w:tr>
        <w:tblPrEx>
          <w:tblCellMar>
            <w:top w:w="0" w:type="dxa"/>
            <w:left w:w="108" w:type="dxa"/>
            <w:bottom w:w="0" w:type="dxa"/>
            <w:right w:w="108" w:type="dxa"/>
          </w:tblCellMar>
        </w:tblPrEx>
        <w:trPr>
          <w:trHeight w:val="807" w:hRule="atLeast"/>
        </w:trPr>
        <w:tc>
          <w:tcPr>
            <w:tcW w:w="156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12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6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03" w:hRule="atLeast"/>
        </w:trPr>
        <w:tc>
          <w:tcPr>
            <w:tcW w:w="123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6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5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8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9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657.54</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238.6</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418.95</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r>
      <w:tr>
        <w:tblPrEx>
          <w:tblCellMar>
            <w:top w:w="0" w:type="dxa"/>
            <w:left w:w="108" w:type="dxa"/>
            <w:bottom w:w="0" w:type="dxa"/>
            <w:right w:w="108" w:type="dxa"/>
          </w:tblCellMar>
        </w:tblPrEx>
        <w:trPr>
          <w:trHeight w:val="41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214</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16"/>
                <w:szCs w:val="16"/>
                <w:lang w:eastAsia="zh-CN"/>
              </w:rPr>
            </w:pPr>
            <w:r>
              <w:rPr>
                <w:rFonts w:hint="eastAsia" w:ascii="宋体" w:hAnsi="宋体" w:eastAsia="宋体" w:cs="宋体"/>
                <w:kern w:val="0"/>
                <w:sz w:val="16"/>
                <w:szCs w:val="16"/>
                <w:lang w:eastAsia="zh-CN"/>
              </w:rPr>
              <w:t>交通运输支出</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572.37</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223.87</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348.49</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p>
        </w:tc>
      </w:tr>
      <w:tr>
        <w:tblPrEx>
          <w:tblCellMar>
            <w:top w:w="0" w:type="dxa"/>
            <w:left w:w="108" w:type="dxa"/>
            <w:bottom w:w="0" w:type="dxa"/>
            <w:right w:w="108" w:type="dxa"/>
          </w:tblCellMar>
        </w:tblPrEx>
        <w:trPr>
          <w:trHeight w:val="370"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21401</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16"/>
                <w:szCs w:val="16"/>
                <w:lang w:eastAsia="zh-CN"/>
              </w:rPr>
            </w:pPr>
            <w:r>
              <w:rPr>
                <w:rFonts w:hint="eastAsia" w:ascii="宋体" w:hAnsi="宋体" w:eastAsia="宋体" w:cs="宋体"/>
                <w:kern w:val="0"/>
                <w:sz w:val="16"/>
                <w:szCs w:val="16"/>
                <w:lang w:eastAsia="zh-CN"/>
              </w:rPr>
              <w:t>公路水路运输</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572.37</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223.87</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348.49</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p>
        </w:tc>
      </w:tr>
      <w:tr>
        <w:tblPrEx>
          <w:tblCellMar>
            <w:top w:w="0" w:type="dxa"/>
            <w:left w:w="108" w:type="dxa"/>
            <w:bottom w:w="0" w:type="dxa"/>
            <w:right w:w="108" w:type="dxa"/>
          </w:tblCellMar>
        </w:tblPrEx>
        <w:trPr>
          <w:trHeight w:val="32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2140131</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16"/>
                <w:szCs w:val="16"/>
                <w:lang w:eastAsia="zh-CN"/>
              </w:rPr>
            </w:pPr>
            <w:r>
              <w:rPr>
                <w:rFonts w:hint="eastAsia" w:ascii="宋体" w:hAnsi="宋体" w:eastAsia="宋体" w:cs="宋体"/>
                <w:kern w:val="0"/>
                <w:sz w:val="16"/>
                <w:szCs w:val="16"/>
                <w:lang w:eastAsia="zh-CN"/>
              </w:rPr>
              <w:t>海事管理</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414.37</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223.87</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190.49</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p>
        </w:tc>
      </w:tr>
      <w:tr>
        <w:tblPrEx>
          <w:tblCellMar>
            <w:top w:w="0" w:type="dxa"/>
            <w:left w:w="108" w:type="dxa"/>
            <w:bottom w:w="0" w:type="dxa"/>
            <w:right w:w="108" w:type="dxa"/>
          </w:tblCellMar>
        </w:tblPrEx>
        <w:trPr>
          <w:trHeight w:val="534"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2140199</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16"/>
                <w:szCs w:val="16"/>
                <w:lang w:eastAsia="zh-CN"/>
              </w:rPr>
            </w:pPr>
            <w:r>
              <w:rPr>
                <w:rFonts w:hint="eastAsia" w:ascii="宋体" w:hAnsi="宋体" w:eastAsia="宋体" w:cs="宋体"/>
                <w:kern w:val="0"/>
                <w:sz w:val="16"/>
                <w:szCs w:val="16"/>
                <w:lang w:eastAsia="zh-CN"/>
              </w:rPr>
              <w:t>其他公路水路运输支出</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158.00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0.00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158.00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p>
        </w:tc>
      </w:tr>
      <w:tr>
        <w:tblPrEx>
          <w:tblCellMar>
            <w:top w:w="0" w:type="dxa"/>
            <w:left w:w="108" w:type="dxa"/>
            <w:bottom w:w="0" w:type="dxa"/>
            <w:right w:w="108" w:type="dxa"/>
          </w:tblCellMar>
        </w:tblPrEx>
        <w:trPr>
          <w:trHeight w:val="400"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221</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16"/>
                <w:szCs w:val="16"/>
                <w:lang w:eastAsia="zh-CN"/>
              </w:rPr>
            </w:pPr>
            <w:r>
              <w:rPr>
                <w:rFonts w:hint="eastAsia" w:ascii="宋体" w:hAnsi="宋体" w:eastAsia="宋体" w:cs="宋体"/>
                <w:kern w:val="0"/>
                <w:sz w:val="16"/>
                <w:szCs w:val="16"/>
                <w:lang w:eastAsia="zh-CN"/>
              </w:rPr>
              <w:t>住房保障支出</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14.72</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14.72</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r>
      <w:tr>
        <w:tblPrEx>
          <w:tblCellMar>
            <w:top w:w="0" w:type="dxa"/>
            <w:left w:w="108" w:type="dxa"/>
            <w:bottom w:w="0" w:type="dxa"/>
            <w:right w:w="108" w:type="dxa"/>
          </w:tblCellMar>
        </w:tblPrEx>
        <w:trPr>
          <w:trHeight w:val="370"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22102</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16"/>
                <w:szCs w:val="16"/>
                <w:lang w:eastAsia="zh-CN"/>
              </w:rPr>
            </w:pPr>
            <w:r>
              <w:rPr>
                <w:rFonts w:hint="eastAsia" w:ascii="宋体" w:hAnsi="宋体" w:eastAsia="宋体" w:cs="宋体"/>
                <w:kern w:val="0"/>
                <w:sz w:val="16"/>
                <w:szCs w:val="16"/>
                <w:lang w:eastAsia="zh-CN"/>
              </w:rPr>
              <w:t>住房改革支出</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14.72</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14.72</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r>
      <w:tr>
        <w:tblPrEx>
          <w:tblCellMar>
            <w:top w:w="0" w:type="dxa"/>
            <w:left w:w="108" w:type="dxa"/>
            <w:bottom w:w="0" w:type="dxa"/>
            <w:right w:w="108" w:type="dxa"/>
          </w:tblCellMar>
        </w:tblPrEx>
        <w:trPr>
          <w:trHeight w:val="38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2210201</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16"/>
                <w:szCs w:val="16"/>
                <w:lang w:eastAsia="zh-CN"/>
              </w:rPr>
            </w:pPr>
            <w:r>
              <w:rPr>
                <w:rFonts w:hint="eastAsia" w:ascii="宋体" w:hAnsi="宋体" w:eastAsia="宋体" w:cs="宋体"/>
                <w:kern w:val="0"/>
                <w:sz w:val="16"/>
                <w:szCs w:val="16"/>
                <w:lang w:eastAsia="zh-CN"/>
              </w:rPr>
              <w:t>住房公积金</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14.72</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14.72</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r>
      <w:tr>
        <w:tblPrEx>
          <w:tblCellMar>
            <w:top w:w="0" w:type="dxa"/>
            <w:left w:w="108" w:type="dxa"/>
            <w:bottom w:w="0" w:type="dxa"/>
            <w:right w:w="108" w:type="dxa"/>
          </w:tblCellMar>
        </w:tblPrEx>
        <w:trPr>
          <w:trHeight w:val="400"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229</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16"/>
                <w:szCs w:val="16"/>
                <w:lang w:eastAsia="zh-CN"/>
              </w:rPr>
            </w:pPr>
            <w:r>
              <w:rPr>
                <w:rFonts w:hint="eastAsia" w:ascii="宋体" w:hAnsi="宋体" w:eastAsia="宋体" w:cs="宋体"/>
                <w:kern w:val="0"/>
                <w:sz w:val="16"/>
                <w:szCs w:val="16"/>
                <w:lang w:eastAsia="zh-CN"/>
              </w:rPr>
              <w:t>其他支出</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70.45</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70.45</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r>
      <w:tr>
        <w:tblPrEx>
          <w:tblCellMar>
            <w:top w:w="0" w:type="dxa"/>
            <w:left w:w="108" w:type="dxa"/>
            <w:bottom w:w="0" w:type="dxa"/>
            <w:right w:w="108" w:type="dxa"/>
          </w:tblCellMar>
        </w:tblPrEx>
        <w:trPr>
          <w:trHeight w:val="41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22904</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16"/>
                <w:szCs w:val="16"/>
                <w:lang w:eastAsia="zh-CN"/>
              </w:rPr>
            </w:pPr>
            <w:r>
              <w:rPr>
                <w:rFonts w:hint="eastAsia" w:ascii="宋体" w:hAnsi="宋体" w:eastAsia="宋体" w:cs="宋体"/>
                <w:kern w:val="0"/>
                <w:sz w:val="16"/>
                <w:szCs w:val="16"/>
                <w:lang w:eastAsia="zh-CN"/>
              </w:rPr>
              <w:t>其他政府性基金及对应专项债务收入安排的支出</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70.45</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70.45</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r>
      <w:tr>
        <w:tblPrEx>
          <w:tblCellMar>
            <w:top w:w="0" w:type="dxa"/>
            <w:left w:w="108" w:type="dxa"/>
            <w:bottom w:w="0" w:type="dxa"/>
            <w:right w:w="108" w:type="dxa"/>
          </w:tblCellMar>
        </w:tblPrEx>
        <w:trPr>
          <w:trHeight w:val="50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2290401</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16"/>
                <w:szCs w:val="16"/>
                <w:lang w:eastAsia="zh-CN"/>
              </w:rPr>
            </w:pPr>
            <w:r>
              <w:rPr>
                <w:rFonts w:hint="eastAsia" w:ascii="宋体" w:hAnsi="宋体" w:eastAsia="宋体" w:cs="宋体"/>
                <w:kern w:val="0"/>
                <w:sz w:val="16"/>
                <w:szCs w:val="16"/>
                <w:lang w:eastAsia="zh-CN"/>
              </w:rPr>
              <w:t>其他政府性基金安排的支出</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70.45</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70.45</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r>
      <w:tr>
        <w:tblPrEx>
          <w:tblCellMar>
            <w:top w:w="0" w:type="dxa"/>
            <w:left w:w="108" w:type="dxa"/>
            <w:bottom w:w="0" w:type="dxa"/>
            <w:right w:w="108" w:type="dxa"/>
          </w:tblCellMar>
        </w:tblPrEx>
        <w:trPr>
          <w:trHeight w:val="828" w:hRule="atLeast"/>
        </w:trPr>
        <w:tc>
          <w:tcPr>
            <w:tcW w:w="15640"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6"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6"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沅江市水运事务中心</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585.09</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70.45</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570.37</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570.37</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14.72</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14.72</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70.45</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70.45</w:t>
            </w: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655.54</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655.54</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585.09</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70.45</w:t>
            </w: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655.54</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655.54</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585.09</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b/>
                <w:bCs/>
                <w:kern w:val="0"/>
                <w:sz w:val="22"/>
                <w:lang w:val="en-US" w:eastAsia="zh-CN"/>
              </w:rPr>
            </w:pPr>
            <w:r>
              <w:rPr>
                <w:rFonts w:hint="eastAsia" w:ascii="宋体" w:hAnsi="宋体" w:eastAsia="宋体" w:cs="宋体"/>
                <w:b/>
                <w:bCs/>
                <w:kern w:val="0"/>
                <w:sz w:val="22"/>
              </w:rPr>
              <w:t>　</w:t>
            </w:r>
            <w:r>
              <w:rPr>
                <w:rFonts w:hint="eastAsia" w:ascii="宋体" w:hAnsi="宋体" w:eastAsia="宋体" w:cs="宋体"/>
                <w:b w:val="0"/>
                <w:bCs w:val="0"/>
                <w:kern w:val="0"/>
                <w:sz w:val="22"/>
                <w:lang w:val="en-US" w:eastAsia="zh-CN"/>
              </w:rPr>
              <w:t>70.45</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沅江市水运事务中心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585.09</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236.6</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348.49</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214</w:t>
            </w:r>
          </w:p>
        </w:tc>
        <w:tc>
          <w:tcPr>
            <w:tcW w:w="3527" w:type="dxa"/>
            <w:tcBorders>
              <w:top w:val="nil"/>
              <w:left w:val="nil"/>
              <w:bottom w:val="single" w:color="auto" w:sz="4" w:space="0"/>
              <w:right w:val="single" w:color="auto" w:sz="4" w:space="0"/>
            </w:tcBorders>
            <w:shd w:val="clear" w:color="auto" w:fill="auto"/>
            <w:vAlign w:val="center"/>
          </w:tcPr>
          <w:p>
            <w:pPr>
              <w:widowControl/>
              <w:ind w:firstLine="210" w:firstLineChars="100"/>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交通运输支出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570.37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221.87</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348.49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21401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公路水路运输</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570.37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221.87</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348.49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2140131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海事管理</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412.37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221.87</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190.49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2140199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其他公路水路运输支出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158.00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158.00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221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住房保障支出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14.72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14.72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22102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住房改革支出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14.72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14.72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2201021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住房公积金</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14.72</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14.72</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fixed"/>
        <w:tblCellMar>
          <w:top w:w="0" w:type="dxa"/>
          <w:left w:w="108" w:type="dxa"/>
          <w:bottom w:w="0" w:type="dxa"/>
          <w:right w:w="108" w:type="dxa"/>
        </w:tblCellMar>
      </w:tblPr>
      <w:tblGrid>
        <w:gridCol w:w="981"/>
        <w:gridCol w:w="240"/>
        <w:gridCol w:w="93"/>
        <w:gridCol w:w="1277"/>
        <w:gridCol w:w="2008"/>
        <w:gridCol w:w="92"/>
        <w:gridCol w:w="686"/>
        <w:gridCol w:w="1411"/>
        <w:gridCol w:w="302"/>
        <w:gridCol w:w="1956"/>
        <w:gridCol w:w="111"/>
        <w:gridCol w:w="525"/>
        <w:gridCol w:w="1196"/>
        <w:gridCol w:w="351"/>
        <w:gridCol w:w="2067"/>
        <w:gridCol w:w="1681"/>
        <w:gridCol w:w="387"/>
        <w:gridCol w:w="250"/>
      </w:tblGrid>
      <w:tr>
        <w:tblPrEx>
          <w:tblCellMar>
            <w:top w:w="0" w:type="dxa"/>
            <w:left w:w="108" w:type="dxa"/>
            <w:bottom w:w="0" w:type="dxa"/>
            <w:right w:w="108" w:type="dxa"/>
          </w:tblCellMar>
        </w:tblPrEx>
        <w:trPr>
          <w:trHeight w:val="113" w:hRule="atLeast"/>
        </w:trPr>
        <w:tc>
          <w:tcPr>
            <w:tcW w:w="15614"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沅江市水运事务中心</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7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4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09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 w:val="16"/>
                <w:szCs w:val="16"/>
                <w:lang w:val="en-US" w:eastAsia="zh-CN"/>
              </w:rPr>
              <w:t>216.6</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17.71</w:t>
            </w: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85.74</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3.03</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54.01</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25.04</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2.29</w:t>
            </w: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2.29</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21.02</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10.32</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1.05</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19.42</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0.72</w:t>
            </w: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0.53</w:t>
            </w: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9.6</w:t>
            </w: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0.67</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25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636"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3.16</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099"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59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7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216.6</w:t>
            </w:r>
          </w:p>
        </w:tc>
        <w:tc>
          <w:tcPr>
            <w:tcW w:w="9600"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lang w:val="en-US" w:eastAsia="zh-CN"/>
              </w:rPr>
              <w:t>20</w:t>
            </w:r>
            <w:r>
              <w:rPr>
                <w:rFonts w:hint="eastAsia" w:ascii="宋体" w:hAnsi="宋体" w:eastAsia="宋体" w:cs="宋体"/>
                <w:color w:val="000000"/>
                <w:kern w:val="0"/>
                <w:szCs w:val="18"/>
              </w:rPr>
              <w:t>　</w:t>
            </w:r>
          </w:p>
        </w:tc>
      </w:tr>
      <w:tr>
        <w:tblPrEx>
          <w:tblCellMar>
            <w:top w:w="0" w:type="dxa"/>
            <w:left w:w="108" w:type="dxa"/>
            <w:bottom w:w="0" w:type="dxa"/>
            <w:right w:w="108" w:type="dxa"/>
          </w:tblCellMar>
        </w:tblPrEx>
        <w:trPr>
          <w:trHeight w:val="284" w:hRule="exact"/>
        </w:trPr>
        <w:tc>
          <w:tcPr>
            <w:tcW w:w="15614"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0" w:type="dxa"/>
          <w:trHeight w:val="690" w:hRule="atLeast"/>
        </w:trPr>
        <w:tc>
          <w:tcPr>
            <w:tcW w:w="15364" w:type="dxa"/>
            <w:gridSpan w:val="1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0" w:type="dxa"/>
          <w:trHeight w:val="345" w:hRule="atLeast"/>
        </w:trPr>
        <w:tc>
          <w:tcPr>
            <w:tcW w:w="98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40"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370"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100"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39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67"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72"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67"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68"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0" w:type="dxa"/>
          <w:trHeight w:val="690" w:hRule="atLeast"/>
        </w:trPr>
        <w:tc>
          <w:tcPr>
            <w:tcW w:w="981"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240"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370"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100"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39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67"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72"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67"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68"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0" w:type="dxa"/>
          <w:trHeight w:val="459" w:hRule="atLeast"/>
        </w:trPr>
        <w:tc>
          <w:tcPr>
            <w:tcW w:w="25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13"/>
                <w:lang w:val="en-US" w:eastAsia="zh-CN" w:bidi="ar"/>
              </w:rPr>
              <w:t xml:space="preserve">   </w:t>
            </w:r>
            <w:r>
              <w:rPr>
                <w:rStyle w:val="14"/>
                <w:lang w:val="en-US" w:eastAsia="zh-CN" w:bidi="ar"/>
              </w:rPr>
              <w:t>目</w:t>
            </w:r>
          </w:p>
        </w:tc>
        <w:tc>
          <w:tcPr>
            <w:tcW w:w="21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239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62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20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0" w:type="dxa"/>
          <w:trHeight w:val="609" w:hRule="atLeast"/>
        </w:trPr>
        <w:tc>
          <w:tcPr>
            <w:tcW w:w="12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13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21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20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2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2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0" w:type="dxa"/>
          <w:trHeight w:val="409" w:hRule="atLeast"/>
        </w:trPr>
        <w:tc>
          <w:tcPr>
            <w:tcW w:w="12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0" w:type="dxa"/>
          <w:trHeight w:val="509" w:hRule="atLeast"/>
        </w:trPr>
        <w:tc>
          <w:tcPr>
            <w:tcW w:w="12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0" w:type="dxa"/>
          <w:trHeight w:val="509" w:hRule="atLeast"/>
        </w:trPr>
        <w:tc>
          <w:tcPr>
            <w:tcW w:w="25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3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0" w:type="dxa"/>
          <w:trHeight w:val="509" w:hRule="atLeast"/>
        </w:trPr>
        <w:tc>
          <w:tcPr>
            <w:tcW w:w="25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0.00</w:t>
            </w:r>
          </w:p>
        </w:tc>
        <w:tc>
          <w:tcPr>
            <w:tcW w:w="23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70.45</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70.45</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0.00</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70.45</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0" w:type="dxa"/>
          <w:trHeight w:val="509" w:hRule="atLeast"/>
        </w:trPr>
        <w:tc>
          <w:tcPr>
            <w:tcW w:w="1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229</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其他支出</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0.00</w:t>
            </w:r>
          </w:p>
        </w:tc>
        <w:tc>
          <w:tcPr>
            <w:tcW w:w="23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70.45</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70.45</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0.00</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70.45</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0" w:type="dxa"/>
          <w:trHeight w:val="509" w:hRule="atLeast"/>
        </w:trPr>
        <w:tc>
          <w:tcPr>
            <w:tcW w:w="1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22904</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其他政府性基金及对应专项债务收入安排的支出</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0.00</w:t>
            </w:r>
          </w:p>
        </w:tc>
        <w:tc>
          <w:tcPr>
            <w:tcW w:w="23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70.45</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70.45</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0.00</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70.45</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0" w:type="dxa"/>
          <w:trHeight w:val="509" w:hRule="atLeast"/>
        </w:trPr>
        <w:tc>
          <w:tcPr>
            <w:tcW w:w="1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2290401</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其他政府性基金安排的支出</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0.00</w:t>
            </w:r>
          </w:p>
        </w:tc>
        <w:tc>
          <w:tcPr>
            <w:tcW w:w="23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70.45</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70.45</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0.00</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70.45</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0" w:type="dxa"/>
          <w:trHeight w:val="509" w:hRule="atLeast"/>
        </w:trPr>
        <w:tc>
          <w:tcPr>
            <w:tcW w:w="1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0" w:type="dxa"/>
          <w:trHeight w:val="509" w:hRule="atLeast"/>
        </w:trPr>
        <w:tc>
          <w:tcPr>
            <w:tcW w:w="1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0" w:type="dxa"/>
          <w:trHeight w:val="509" w:hRule="atLeast"/>
        </w:trPr>
        <w:tc>
          <w:tcPr>
            <w:tcW w:w="1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0" w:type="dxa"/>
          <w:trHeight w:val="725" w:hRule="atLeast"/>
        </w:trPr>
        <w:tc>
          <w:tcPr>
            <w:tcW w:w="15364"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说明：我单位没有政府性基金收入，也没有使用政府性基金安排的支出，故本表无数据。（当表格数据为空时，应有此说明）</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tbl>
      <w:tblPr>
        <w:tblStyle w:val="6"/>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26"/>
        <w:gridCol w:w="701"/>
        <w:gridCol w:w="2292"/>
        <w:gridCol w:w="3315"/>
        <w:gridCol w:w="3315"/>
        <w:gridCol w:w="4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Style w:val="15"/>
                <w:lang w:val="en-US" w:eastAsia="zh-CN" w:bidi="ar"/>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说明：我单位没有使用国有资本经营预算安排的支出，故本表无数据。（当表格数据为空时，应有此说明）</w:t>
            </w:r>
          </w:p>
        </w:tc>
      </w:tr>
    </w:tbl>
    <w:p>
      <w:pPr>
        <w:widowControl/>
        <w:jc w:val="center"/>
        <w:rPr>
          <w:rFonts w:hint="eastAsia" w:ascii="Times New Roman" w:hAnsi="Times New Roman" w:eastAsia="方正小标宋_GBK" w:cs="Times New Roman"/>
          <w:color w:val="000000"/>
          <w:kern w:val="0"/>
          <w:sz w:val="36"/>
          <w:szCs w:val="36"/>
        </w:rPr>
      </w:pPr>
    </w:p>
    <w:tbl>
      <w:tblPr>
        <w:tblStyle w:val="6"/>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0"/>
        <w:gridCol w:w="1261"/>
        <w:gridCol w:w="1261"/>
        <w:gridCol w:w="1261"/>
        <w:gridCol w:w="1261"/>
        <w:gridCol w:w="1261"/>
        <w:gridCol w:w="1261"/>
        <w:gridCol w:w="1261"/>
        <w:gridCol w:w="1261"/>
        <w:gridCol w:w="1261"/>
        <w:gridCol w:w="1261"/>
        <w:gridCol w:w="1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9.91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5.51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5.51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9.91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5.51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5.51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jc w:val="both"/>
        <w:rPr>
          <w:sz w:val="72"/>
          <w:szCs w:val="72"/>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657.54</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67.93</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11.52</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增加了项目的收入和支出。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657.54</w:t>
      </w:r>
      <w:r>
        <w:rPr>
          <w:rFonts w:hint="eastAsia" w:ascii="Times New Roman" w:hAnsi="Times New Roman" w:eastAsia="仿宋_GB2312"/>
          <w:sz w:val="32"/>
          <w:szCs w:val="32"/>
        </w:rPr>
        <w:t>万元，其中：</w:t>
      </w:r>
      <w:r>
        <w:rPr>
          <w:rFonts w:hint="eastAsia" w:ascii="Times New Roman" w:hAnsi="Times New Roman" w:eastAsia="仿宋_GB2312"/>
          <w:sz w:val="32"/>
          <w:szCs w:val="32"/>
          <w:lang w:eastAsia="zh-CN"/>
        </w:rPr>
        <w:t>一般公共预算</w:t>
      </w:r>
      <w:r>
        <w:rPr>
          <w:rFonts w:hint="eastAsia" w:ascii="Times New Roman" w:hAnsi="Times New Roman" w:eastAsia="仿宋_GB2312"/>
          <w:sz w:val="32"/>
          <w:szCs w:val="32"/>
        </w:rPr>
        <w:t>拨款收入</w:t>
      </w:r>
      <w:r>
        <w:rPr>
          <w:rFonts w:hint="eastAsia" w:ascii="Times New Roman" w:hAnsi="Times New Roman" w:eastAsia="仿宋_GB2312"/>
          <w:sz w:val="32"/>
          <w:szCs w:val="32"/>
          <w:lang w:val="en-US" w:eastAsia="zh-CN"/>
        </w:rPr>
        <w:t>201.13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0.82</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657.54</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238.6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36.29</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418.94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63.71</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655.54</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84.23</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14.74</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项目资金的收入跟支出增加。</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655.54</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99.7</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84.23</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14.74</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项目资金的收入跟支出增加。</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585.09</w:t>
      </w:r>
      <w:r>
        <w:rPr>
          <w:rFonts w:hint="eastAsia" w:ascii="Times New Roman" w:hAnsi="Times New Roman" w:eastAsia="仿宋_GB2312"/>
          <w:sz w:val="32"/>
          <w:szCs w:val="32"/>
        </w:rPr>
        <w:t>万元，主要用于以下方面：</w:t>
      </w:r>
      <w:r>
        <w:rPr>
          <w:rFonts w:hint="eastAsia" w:ascii="Times New Roman" w:hAnsi="Times New Roman" w:eastAsia="仿宋_GB2312"/>
          <w:sz w:val="32"/>
          <w:szCs w:val="32"/>
          <w:lang w:eastAsia="zh-CN"/>
        </w:rPr>
        <w:t>交通运输支出</w:t>
      </w:r>
      <w:r>
        <w:rPr>
          <w:rFonts w:hint="eastAsia" w:ascii="Times New Roman" w:hAnsi="Times New Roman" w:eastAsia="仿宋_GB2312"/>
          <w:sz w:val="32"/>
          <w:szCs w:val="32"/>
          <w:lang w:val="en-US" w:eastAsia="zh-CN"/>
        </w:rPr>
        <w:t>570.37万元，占97.48%，住房保障支出14.72万元，占2.52%。</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201.13</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657.54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326.92</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960" w:firstLineChars="300"/>
        <w:textAlignment w:val="auto"/>
        <w:rPr>
          <w:rFonts w:hint="eastAsia" w:ascii="仿宋" w:hAnsi="仿宋" w:eastAsia="仿宋" w:cs="仿宋"/>
          <w:kern w:val="0"/>
          <w:sz w:val="32"/>
          <w:szCs w:val="32"/>
        </w:rPr>
      </w:pPr>
      <w:r>
        <w:rPr>
          <w:rFonts w:hint="eastAsia" w:ascii="仿宋" w:hAnsi="仿宋" w:eastAsia="仿宋" w:cs="仿宋"/>
          <w:kern w:val="0"/>
          <w:sz w:val="32"/>
          <w:szCs w:val="32"/>
        </w:rPr>
        <w:t>按经济分类：工资福利支出220.16万元，比上年增长5.3%。商品和服务支出352.41万元，比上年增长8.17%。项目支出418.95万元，比上年增加19%。其他资本性支出84.97万元，比上年增加56.34%。</w:t>
      </w:r>
    </w:p>
    <w:p>
      <w:pPr>
        <w:pStyle w:val="10"/>
        <w:keepNext w:val="0"/>
        <w:keepLines w:val="0"/>
        <w:pageBreakBefore w:val="0"/>
        <w:widowControl w:val="0"/>
        <w:kinsoku/>
        <w:wordWrap/>
        <w:overflowPunct/>
        <w:topLinePunct w:val="0"/>
        <w:bidi w:val="0"/>
        <w:snapToGrid/>
        <w:spacing w:line="600" w:lineRule="exact"/>
        <w:ind w:firstLine="960" w:firstLineChars="3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236.59</w:t>
      </w:r>
      <w:r>
        <w:rPr>
          <w:rFonts w:hint="eastAsia" w:ascii="Times New Roman" w:hAnsi="Times New Roman" w:eastAsia="仿宋_GB2312"/>
          <w:sz w:val="32"/>
          <w:szCs w:val="32"/>
        </w:rPr>
        <w:t>万元，其中：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216.59</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91.55</w:t>
      </w:r>
      <w:r>
        <w:rPr>
          <w:rFonts w:hint="eastAsia" w:ascii="Times New Roman" w:hAnsi="Times New Roman" w:eastAsia="仿宋_GB2312"/>
          <w:sz w:val="32"/>
          <w:szCs w:val="32"/>
        </w:rPr>
        <w:t>%,主要包括基本工资、津贴补贴、奖金、</w:t>
      </w:r>
      <w:r>
        <w:rPr>
          <w:rFonts w:hint="eastAsia" w:ascii="Times New Roman" w:hAnsi="Times New Roman" w:eastAsia="仿宋_GB2312"/>
          <w:sz w:val="32"/>
          <w:szCs w:val="32"/>
          <w:lang w:eastAsia="zh-CN"/>
        </w:rPr>
        <w:t>机关事业单位基本养老保险费、基本医疗保险费、其他社会保障费、住房公积金等。</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17.7</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7.48</w:t>
      </w:r>
      <w:r>
        <w:rPr>
          <w:rFonts w:hint="eastAsia" w:ascii="Times New Roman" w:hAnsi="Times New Roman" w:eastAsia="仿宋_GB2312"/>
          <w:sz w:val="32"/>
          <w:szCs w:val="32"/>
        </w:rPr>
        <w:t>%，主要包括办公费、</w:t>
      </w:r>
      <w:r>
        <w:rPr>
          <w:rFonts w:hint="eastAsia" w:ascii="Times New Roman" w:hAnsi="Times New Roman" w:eastAsia="仿宋_GB2312"/>
          <w:sz w:val="32"/>
          <w:szCs w:val="32"/>
          <w:lang w:eastAsia="zh-CN"/>
        </w:rPr>
        <w:t>福利费、维修（护）费、培训费、工会经费、其他商品和服务支出等。</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b/>
          <w:bCs/>
          <w:sz w:val="32"/>
          <w:szCs w:val="32"/>
          <w:lang w:eastAsia="zh-CN"/>
        </w:rPr>
        <w:t>资本性支出</w:t>
      </w:r>
      <w:r>
        <w:rPr>
          <w:rFonts w:hint="eastAsia" w:ascii="Times New Roman" w:hAnsi="Times New Roman" w:eastAsia="仿宋_GB2312"/>
          <w:sz w:val="32"/>
          <w:szCs w:val="32"/>
          <w:lang w:val="en-US" w:eastAsia="zh-CN"/>
        </w:rPr>
        <w:t>2.3万元，占基本支出的0.97%。</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9.9</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450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4.4</w:t>
      </w:r>
      <w:r>
        <w:rPr>
          <w:rFonts w:hint="eastAsia" w:ascii="Times New Roman" w:hAnsi="Times New Roman" w:eastAsia="仿宋_GB2312"/>
          <w:sz w:val="32"/>
          <w:szCs w:val="32"/>
        </w:rPr>
        <w:t>万元，完成预算的XX%，决算数大于预算数的主要原因是</w:t>
      </w:r>
      <w:r>
        <w:rPr>
          <w:rFonts w:hint="eastAsia" w:ascii="Times New Roman" w:hAnsi="Times New Roman" w:eastAsia="仿宋_GB2312"/>
          <w:sz w:val="32"/>
          <w:szCs w:val="32"/>
          <w:lang w:eastAsia="zh-CN"/>
        </w:rPr>
        <w:t>船舶防污染物回收站专项资金为市级资金，该专项资金的收入和支出未纳入年初预算。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5.5</w:t>
      </w:r>
      <w:r>
        <w:rPr>
          <w:rFonts w:hint="eastAsia" w:ascii="Times New Roman" w:hAnsi="Times New Roman" w:eastAsia="仿宋_GB2312"/>
          <w:sz w:val="32"/>
          <w:szCs w:val="32"/>
        </w:rPr>
        <w:t>万元，完成预算的XX%，决算数大于预算数的主要原因是</w:t>
      </w:r>
      <w:r>
        <w:rPr>
          <w:rFonts w:hint="eastAsia" w:ascii="Times New Roman" w:hAnsi="Times New Roman" w:eastAsia="仿宋_GB2312"/>
          <w:sz w:val="32"/>
          <w:szCs w:val="32"/>
          <w:lang w:eastAsia="zh-CN"/>
        </w:rPr>
        <w:t>船舶防污染物回收站专项资金为市级资金，该专项资金的收入和支出未纳入年初预算</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4.4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44.44</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5.5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55.56</w:t>
      </w:r>
      <w:r>
        <w:rPr>
          <w:rFonts w:hint="eastAsia" w:ascii="Times New Roman" w:hAnsi="Times New Roman" w:eastAsia="仿宋_GB2312"/>
          <w:sz w:val="32"/>
          <w:szCs w:val="32"/>
        </w:rPr>
        <w:t>%。其中：</w:t>
      </w:r>
    </w:p>
    <w:p>
      <w:pPr>
        <w:pStyle w:val="10"/>
        <w:keepNext w:val="0"/>
        <w:keepLines w:val="0"/>
        <w:pageBreakBefore w:val="0"/>
        <w:widowControl w:val="0"/>
        <w:numPr>
          <w:ilvl w:val="0"/>
          <w:numId w:val="2"/>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10"/>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4.4</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122</w:t>
      </w:r>
      <w:r>
        <w:rPr>
          <w:rFonts w:hint="eastAsia" w:ascii="Times New Roman" w:hAnsi="Times New Roman" w:eastAsia="仿宋_GB2312"/>
          <w:sz w:val="32"/>
          <w:szCs w:val="32"/>
        </w:rPr>
        <w:t>人次</w:t>
      </w:r>
      <w:r>
        <w:rPr>
          <w:rFonts w:hint="eastAsia" w:ascii="楷体" w:hAnsi="楷体" w:eastAsia="楷体" w:cs="楷体"/>
          <w:b/>
          <w:bCs/>
          <w:i/>
          <w:color w:val="auto"/>
          <w:sz w:val="32"/>
          <w:szCs w:val="32"/>
        </w:rPr>
        <w:t>（精确到个位数）</w:t>
      </w:r>
      <w:r>
        <w:rPr>
          <w:rFonts w:hint="eastAsia" w:ascii="Times New Roman" w:hAnsi="Times New Roman" w:eastAsia="仿宋_GB2312"/>
          <w:sz w:val="32"/>
          <w:szCs w:val="32"/>
        </w:rPr>
        <w:t>，主要是</w:t>
      </w:r>
      <w:r>
        <w:rPr>
          <w:rFonts w:hint="eastAsia" w:ascii="Times New Roman" w:hAnsi="Times New Roman" w:eastAsia="仿宋_GB2312"/>
          <w:sz w:val="32"/>
          <w:szCs w:val="32"/>
          <w:lang w:eastAsia="zh-CN"/>
        </w:rPr>
        <w:t>回收站工作检查、安全生产检查等</w:t>
      </w:r>
      <w:r>
        <w:rPr>
          <w:rFonts w:hint="eastAsia" w:ascii="Times New Roman" w:hAnsi="Times New Roman" w:eastAsia="仿宋_GB2312"/>
          <w:sz w:val="32"/>
          <w:szCs w:val="32"/>
        </w:rPr>
        <w:t>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5.5</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5.5</w:t>
      </w:r>
      <w:r>
        <w:rPr>
          <w:rFonts w:hint="eastAsia" w:ascii="Times New Roman" w:hAnsi="Times New Roman" w:eastAsia="仿宋_GB2312"/>
          <w:sz w:val="32"/>
          <w:szCs w:val="32"/>
        </w:rPr>
        <w:t>万元，主要是</w:t>
      </w:r>
      <w:r>
        <w:rPr>
          <w:rFonts w:hint="eastAsia" w:ascii="Times New Roman" w:hAnsi="Times New Roman" w:eastAsia="仿宋_GB2312"/>
          <w:sz w:val="32"/>
          <w:szCs w:val="32"/>
          <w:lang w:eastAsia="zh-CN"/>
        </w:rPr>
        <w:t>公务用车的维修维护</w:t>
      </w:r>
      <w:r>
        <w:rPr>
          <w:rFonts w:hint="eastAsia" w:ascii="Times New Roman" w:hAnsi="Times New Roman" w:eastAsia="仿宋_GB2312"/>
          <w:sz w:val="32"/>
          <w:szCs w:val="32"/>
        </w:rPr>
        <w:t>支出，截止202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0"/>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。本单位本年度无政府性基金预算财政拨款收入。</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与年初预算一致。</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开支培训费</w:t>
      </w:r>
      <w:r>
        <w:rPr>
          <w:rFonts w:hint="eastAsia" w:ascii="Times New Roman" w:hAnsi="Times New Roman" w:eastAsia="仿宋_GB2312"/>
          <w:sz w:val="32"/>
          <w:szCs w:val="32"/>
          <w:lang w:val="en-US" w:eastAsia="zh-CN"/>
        </w:rPr>
        <w:t>0.53</w:t>
      </w:r>
      <w:r>
        <w:rPr>
          <w:rFonts w:hint="eastAsia" w:ascii="Times New Roman" w:hAnsi="Times New Roman" w:eastAsia="仿宋_GB2312"/>
          <w:sz w:val="32"/>
          <w:szCs w:val="32"/>
        </w:rPr>
        <w:t>万元，用于开展</w:t>
      </w:r>
      <w:r>
        <w:rPr>
          <w:rFonts w:hint="eastAsia" w:ascii="Times New Roman" w:hAnsi="Times New Roman" w:eastAsia="仿宋_GB2312"/>
          <w:sz w:val="32"/>
          <w:szCs w:val="32"/>
          <w:lang w:eastAsia="zh-CN"/>
        </w:rPr>
        <w:t>船舶污染物回收站专项工作人员的业务</w:t>
      </w:r>
      <w:r>
        <w:rPr>
          <w:rFonts w:hint="eastAsia" w:ascii="Times New Roman" w:hAnsi="Times New Roman" w:eastAsia="仿宋_GB2312"/>
          <w:sz w:val="32"/>
          <w:szCs w:val="32"/>
        </w:rPr>
        <w:t>培训，人数</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eastAsia="zh-CN"/>
        </w:rPr>
        <w:t>业务知识培训</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仿宋_GB2312" w:cs="楷体"/>
          <w:b/>
          <w:bCs/>
          <w:i/>
          <w:color w:val="auto"/>
          <w:kern w:val="0"/>
          <w:sz w:val="32"/>
          <w:szCs w:val="32"/>
          <w:lang w:val="en-US" w:eastAsia="zh-CN" w:bidi="ar-SA"/>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2</w:t>
      </w:r>
      <w:r>
        <w:rPr>
          <w:rFonts w:ascii="仿宋" w:hAnsi="仿宋" w:eastAsia="仿宋"/>
          <w:sz w:val="32"/>
          <w:szCs w:val="32"/>
        </w:rPr>
        <w:t>年部门支出满足了中心正常运转，确保了各项计划和任务的完成。水运工作绩效较好地履行了职责，为全市水上交通安全提供了稳定、有效的秩序。</w:t>
      </w:r>
    </w:p>
    <w:p>
      <w:pPr>
        <w:ind w:firstLine="640" w:firstLineChars="200"/>
        <w:rPr>
          <w:rFonts w:ascii="仿宋" w:hAnsi="仿宋" w:eastAsia="仿宋"/>
          <w:sz w:val="32"/>
          <w:szCs w:val="32"/>
        </w:rPr>
      </w:pPr>
      <w:r>
        <w:rPr>
          <w:rFonts w:ascii="仿宋" w:hAnsi="仿宋" w:eastAsia="仿宋"/>
          <w:sz w:val="32"/>
          <w:szCs w:val="32"/>
        </w:rPr>
        <w:t>㈠经济性方面。全面按照市财政预算进行成本控制，中心股室严格按财政预算，合理使用资金。公务接待费4.4万元，控制在厉行节约指标之内。所有专项支出按财政部门下达的计划实施，没有截留、没有挪用、没有超支等现象。</w:t>
      </w:r>
    </w:p>
    <w:p>
      <w:pPr>
        <w:ind w:firstLine="640" w:firstLineChars="200"/>
        <w:rPr>
          <w:rFonts w:ascii="仿宋" w:hAnsi="仿宋" w:eastAsia="仿宋" w:cs="宋体"/>
          <w:sz w:val="32"/>
          <w:szCs w:val="32"/>
        </w:rPr>
      </w:pPr>
      <w:r>
        <w:rPr>
          <w:rFonts w:ascii="仿宋" w:hAnsi="仿宋" w:eastAsia="仿宋" w:cs="宋体"/>
          <w:sz w:val="32"/>
          <w:szCs w:val="32"/>
        </w:rPr>
        <w:t>㈡效率性方面。我中心进一步巩固我市水上交通安全整治成果，保障船舶、水上设施和人民群众生命、财产安全。以水上交通安全工作为重点，行业各项管理工作稳步推进，取得了新的成绩，出色地完成了全年工作任务。</w:t>
      </w:r>
    </w:p>
    <w:p>
      <w:pPr>
        <w:pStyle w:val="5"/>
        <w:widowControl/>
        <w:shd w:val="clear" w:color="auto" w:fill="FFFFFF"/>
        <w:spacing w:beforeAutospacing="0" w:afterAutospacing="0" w:line="560" w:lineRule="atLeast"/>
        <w:ind w:firstLine="560"/>
        <w:jc w:val="both"/>
        <w:rPr>
          <w:rFonts w:ascii="仿宋" w:hAnsi="仿宋" w:eastAsia="仿宋"/>
          <w:color w:val="333333"/>
          <w:sz w:val="32"/>
          <w:szCs w:val="32"/>
        </w:rPr>
      </w:pPr>
      <w:r>
        <w:rPr>
          <w:rFonts w:hint="eastAsia" w:ascii="仿宋" w:hAnsi="仿宋" w:eastAsia="仿宋" w:cs="宋体"/>
          <w:sz w:val="32"/>
          <w:szCs w:val="32"/>
        </w:rPr>
        <w:t>㈢有效性方面。</w:t>
      </w:r>
      <w:r>
        <w:rPr>
          <w:rFonts w:hint="eastAsia" w:ascii="仿宋" w:hAnsi="仿宋" w:eastAsia="仿宋" w:cs="宋体"/>
          <w:color w:val="333333"/>
          <w:sz w:val="32"/>
          <w:szCs w:val="32"/>
          <w:shd w:val="clear" w:color="auto" w:fill="FFFFFF"/>
        </w:rPr>
        <w:t>部门支出的有效性主要体现在我中心各项工作成效上。一是我中心先后在各节假日对全市水域客渡船、汽车渡船、旅游码头进行了全面的安全监管。二是我中心以“渡运安全关乎民生，关系社会和谐稳定”为渡口、渡船的监管目标，实现了全年每月一次的安全监管全覆盖，形成了“抓源头、细监管、保适航”的安全体系。三是</w:t>
      </w:r>
      <w:r>
        <w:rPr>
          <w:rFonts w:hint="eastAsia" w:ascii="仿宋" w:hAnsi="仿宋" w:eastAsia="仿宋" w:cs="宋体"/>
          <w:color w:val="000000"/>
          <w:sz w:val="32"/>
          <w:szCs w:val="32"/>
          <w:shd w:val="clear" w:color="auto" w:fill="FFFFFF"/>
        </w:rPr>
        <w:t>开展船舶污染物接收、转运及处置，监督船舶污染物集中收集、联单处置，负责船舶防污染设施建设。　　</w:t>
      </w:r>
    </w:p>
    <w:p>
      <w:pPr>
        <w:ind w:firstLine="640" w:firstLineChars="200"/>
        <w:rPr>
          <w:rFonts w:ascii="仿宋" w:hAnsi="仿宋" w:eastAsia="仿宋" w:cs="宋体"/>
          <w:sz w:val="32"/>
          <w:szCs w:val="32"/>
        </w:rPr>
      </w:pPr>
      <w:r>
        <w:rPr>
          <w:rFonts w:ascii="仿宋" w:hAnsi="仿宋" w:eastAsia="仿宋" w:cs="宋体"/>
          <w:sz w:val="32"/>
          <w:szCs w:val="32"/>
        </w:rPr>
        <w:t>㈣可持续方面。</w:t>
      </w:r>
      <w:r>
        <w:rPr>
          <w:rFonts w:ascii="仿宋" w:hAnsi="仿宋" w:eastAsia="仿宋" w:cs="宋体"/>
          <w:color w:val="333333"/>
          <w:sz w:val="32"/>
          <w:szCs w:val="32"/>
          <w:shd w:val="clear" w:color="auto" w:fill="FFFFFF"/>
        </w:rPr>
        <w:t>水上交通安全是良好市场秩序和经济可持续发展的根本，强化安全保障和服务。加强对船舶污染物接收、转运以及处置工作，坚决有效地开展船舶污染物治理专项行动，切实维护好洞庭湖生态环境。持续深化源头管理，开展宣传教育培训，提升从业人员安全意识。推进智慧水运管理，切实提升安全履职能力，进一步推进工作规范化，信息化水平。</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spacing w:line="520" w:lineRule="exact"/>
        <w:ind w:firstLine="960" w:firstLineChars="300"/>
        <w:rPr>
          <w:rFonts w:ascii="仿宋" w:hAnsi="仿宋" w:eastAsia="仿宋"/>
          <w:sz w:val="32"/>
        </w:rPr>
      </w:pPr>
      <w:r>
        <w:rPr>
          <w:rFonts w:ascii="仿宋" w:hAnsi="仿宋" w:eastAsia="仿宋"/>
          <w:sz w:val="32"/>
        </w:rPr>
        <w:t>我单位遵守财经法律法规，严格按照《行政事业单位财务制度》进行财务核算，坚持“依法理财、科学管理”，科学合理地安排有限资金，确保重点支出和项目经费的需要，从资金上保证了我中心各项工作的顺利开展。年终认真与财政部门对帐，如实填报决算报表，做到帐表相符、账账相符。认真做好报表审核，确保决算报表准确。</w:t>
      </w:r>
    </w:p>
    <w:p>
      <w:pPr>
        <w:spacing w:line="520" w:lineRule="exact"/>
        <w:ind w:left="643" w:firstLine="320" w:firstLineChars="100"/>
        <w:rPr>
          <w:rFonts w:ascii="仿宋" w:hAnsi="仿宋" w:eastAsia="仿宋"/>
          <w:sz w:val="32"/>
        </w:rPr>
      </w:pPr>
      <w:r>
        <w:rPr>
          <w:rFonts w:ascii="仿宋" w:hAnsi="仿宋" w:eastAsia="仿宋"/>
          <w:sz w:val="32"/>
        </w:rPr>
        <w:t>我中心严格按照《预算法》、《地主预决处公开操作规程》</w:t>
      </w:r>
    </w:p>
    <w:p>
      <w:pPr>
        <w:spacing w:line="520" w:lineRule="exact"/>
        <w:rPr>
          <w:rFonts w:hint="default" w:ascii="仿宋" w:hAnsi="仿宋" w:eastAsia="仿宋"/>
          <w:sz w:val="32"/>
        </w:rPr>
      </w:pPr>
      <w:r>
        <w:rPr>
          <w:rFonts w:ascii="仿宋" w:hAnsi="仿宋" w:eastAsia="仿宋"/>
          <w:sz w:val="32"/>
        </w:rPr>
        <w:t>规定，准确、及时、完整的在沅江市政府网站公开我单位部门预算和决算。</w:t>
      </w:r>
    </w:p>
    <w:p>
      <w:pPr>
        <w:pStyle w:val="10"/>
        <w:jc w:val="both"/>
        <w:rPr>
          <w:sz w:val="72"/>
          <w:szCs w:val="72"/>
        </w:rPr>
      </w:pPr>
    </w:p>
    <w:p>
      <w:pPr>
        <w:pStyle w:val="10"/>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333333"/>
          <w:sz w:val="28"/>
          <w:szCs w:val="24"/>
          <w:shd w:val="clear" w:color="auto" w:fill="FFFFFF"/>
        </w:rPr>
        <w:t>财政拨款收入：指本级财政当年拨付的资金。</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333333"/>
          <w:sz w:val="28"/>
          <w:szCs w:val="24"/>
          <w:shd w:val="clear" w:color="auto" w:fill="FFFFFF"/>
        </w:rPr>
        <w:t>事业收入：指事业单位开展专业业务活动及辅助活动所取得的收入。</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333333"/>
          <w:sz w:val="28"/>
          <w:szCs w:val="24"/>
          <w:shd w:val="clear" w:color="auto" w:fill="FFFFFF"/>
        </w:rPr>
        <w:t>上年结转和结余：指以前年度尚未完成、结转到本年按有</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333333"/>
          <w:sz w:val="28"/>
          <w:szCs w:val="24"/>
          <w:shd w:val="clear" w:color="auto" w:fill="FFFFFF"/>
        </w:rPr>
        <w:t>关规定继续使用的资金。</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333333"/>
          <w:sz w:val="28"/>
          <w:szCs w:val="24"/>
          <w:shd w:val="clear" w:color="auto" w:fill="FFFFFF"/>
        </w:rPr>
        <w:t>结余分配：指事业单位按规定对非财政补助结余资金提取的职工福利基金、事业基金和缴纳的所得税，以及减少单位按规定应缴回的基本建设竣工项目结余资金。</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333333"/>
          <w:sz w:val="28"/>
          <w:szCs w:val="24"/>
          <w:shd w:val="clear" w:color="auto" w:fill="FFFFFF"/>
        </w:rPr>
        <w:t>年末结转和结余资金：指本年度或以前年度预算安排、因客观条件发生变化无法按原计划实施，需要延迟到以后年度按有关规定继续使用的资金。</w:t>
      </w:r>
    </w:p>
    <w:p>
      <w:pPr>
        <w:pStyle w:val="5"/>
        <w:widowControl/>
        <w:shd w:val="clear" w:color="auto" w:fill="FFFFFF"/>
        <w:spacing w:line="540" w:lineRule="atLeast"/>
        <w:ind w:firstLine="560" w:firstLineChars="200"/>
        <w:jc w:val="both"/>
        <w:rPr>
          <w:rFonts w:hint="eastAsia"/>
          <w:color w:val="333333"/>
          <w:sz w:val="28"/>
          <w:szCs w:val="24"/>
          <w:shd w:val="clear" w:color="auto" w:fill="FFFFFF"/>
        </w:rPr>
      </w:pPr>
      <w:r>
        <w:rPr>
          <w:rFonts w:hint="eastAsia" w:ascii="宋体" w:hAnsi="宋体"/>
          <w:color w:val="333333"/>
          <w:sz w:val="28"/>
          <w:szCs w:val="24"/>
          <w:shd w:val="clear" w:color="auto" w:fill="FFFFFF"/>
        </w:rPr>
        <w:t>交通运运输支出（类）：是指用于交通运输和邮政业方面的支出，包括保障机构正常运转、完成日常和特定的工作任务或事业发展目标的支出。</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333333"/>
          <w:sz w:val="28"/>
          <w:szCs w:val="24"/>
          <w:shd w:val="clear" w:color="auto" w:fill="FFFFFF"/>
        </w:rPr>
        <w:t>基本支出：指在基本支出之外为完成特定行政任务和事业发展目标所发生的支出。</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333333"/>
          <w:sz w:val="28"/>
          <w:szCs w:val="24"/>
          <w:shd w:val="clear" w:color="auto" w:fill="FFFFFF"/>
        </w:rPr>
        <w:t>项目支出：指在基本支出之外为完成特定行政任务和事业发展目标所发生的支出。</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333333"/>
          <w:sz w:val="28"/>
          <w:szCs w:val="24"/>
          <w:shd w:val="clear" w:color="auto" w:fill="FFFFFF"/>
        </w:rPr>
        <w:t>“三公”经费：指用财政拨款安排的因公出国（境）费、公务用车购置及运行费和公务接待费。其中，因公出同（境）费反映出国（境）的住宿费、差旅费、伙食补助费、杂费、培训费等支出；公务用车购置及运行费反映单位公务用车购置费及租用费、燃料费、维修费、过路过桥费、保险费。</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工资福利支出：反映单位开支的在职职工和编制外长期聘用人员的各类劳动报酬，以及为上述人员缴纳的各项社会保险费等。</w:t>
      </w:r>
    </w:p>
    <w:p>
      <w:pPr>
        <w:pStyle w:val="5"/>
        <w:widowControl/>
        <w:shd w:val="clear" w:color="auto" w:fill="FFFFFF"/>
        <w:spacing w:line="540" w:lineRule="atLeast"/>
        <w:ind w:firstLine="560" w:firstLineChars="200"/>
        <w:jc w:val="both"/>
        <w:rPr>
          <w:rFonts w:hint="eastAsia"/>
          <w:color w:val="000000"/>
          <w:sz w:val="28"/>
          <w:szCs w:val="24"/>
          <w:shd w:val="clear" w:color="auto" w:fill="FFFFFF"/>
        </w:rPr>
      </w:pPr>
      <w:r>
        <w:rPr>
          <w:rFonts w:hint="eastAsia" w:ascii="宋体" w:hAnsi="宋体"/>
          <w:color w:val="000000"/>
          <w:sz w:val="28"/>
          <w:szCs w:val="24"/>
          <w:shd w:val="clear" w:color="auto" w:fill="FFFFFF"/>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津贴补贴：反映经国家批准建立的机关事业单位艰苦边远地区津贴、机关工作人员地区附加津贴、机关工作人员岗位津贴、事业单位工作人员特殊岗位津贴补贴等。</w:t>
      </w:r>
    </w:p>
    <w:p>
      <w:pPr>
        <w:pStyle w:val="5"/>
        <w:widowControl/>
        <w:shd w:val="clear" w:color="auto" w:fill="FFFFFF"/>
        <w:spacing w:line="540" w:lineRule="atLeast"/>
        <w:ind w:firstLine="64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伙食补助费：反映单位发给职工的伙食补助费，如误餐补助等。</w:t>
      </w:r>
    </w:p>
    <w:p>
      <w:pPr>
        <w:pStyle w:val="5"/>
        <w:widowControl/>
        <w:shd w:val="clear" w:color="auto" w:fill="FFFFFF"/>
        <w:spacing w:line="540" w:lineRule="atLeast"/>
        <w:ind w:firstLine="64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绩效工资：反映事业单位工作人员的绩效工资。</w:t>
      </w:r>
    </w:p>
    <w:p>
      <w:pPr>
        <w:pStyle w:val="5"/>
        <w:widowControl/>
        <w:shd w:val="clear" w:color="auto" w:fill="FFFFFF"/>
        <w:spacing w:line="540" w:lineRule="atLeast"/>
        <w:ind w:firstLine="64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机关事业单位基本养老保险缴费：反映机关事业单位缴纳的基本养老保险费。由单位代扣的工作人员基本养老保险缴费，不在此科目反映。</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职工基本医疗保险缴费：反映单位为职工缴纳的基本医疗保险费。</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其他社会保障缴费：反映单位为职工缴纳的基本医疗、失业、工伤、生育等社会保险费，残疾人就业保障金，军队（含武警）为军人缴纳的伤亡、退役医疗等社会保险费。</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住房公积金：反映行政事业单位按人力资源和社会保障部、财政部规定的基本工资和津贴补贴以及规定比例为职工缴纳的住房公积金。</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pStyle w:val="5"/>
        <w:widowControl/>
        <w:shd w:val="clear" w:color="auto" w:fill="FFFFFF"/>
        <w:spacing w:line="540" w:lineRule="atLeast"/>
        <w:ind w:firstLine="560" w:firstLineChars="200"/>
        <w:jc w:val="both"/>
        <w:rPr>
          <w:rFonts w:hint="eastAsia"/>
          <w:color w:val="000000"/>
          <w:sz w:val="28"/>
          <w:szCs w:val="24"/>
          <w:shd w:val="clear" w:color="auto" w:fill="FFFFFF"/>
        </w:rPr>
      </w:pPr>
      <w:r>
        <w:rPr>
          <w:rFonts w:hint="eastAsia" w:ascii="宋体" w:hAnsi="宋体"/>
          <w:color w:val="000000"/>
          <w:sz w:val="28"/>
          <w:szCs w:val="24"/>
          <w:shd w:val="clear" w:color="auto" w:fill="FFFFFF"/>
        </w:rPr>
        <w:t>商品和服务支出：反映单位购买商品和服务的支出（不包括用于购置固定资产的支出、战略性和应急储备支出）。</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办公费：反映单位购买按财务会计制度规定不符合固定资产确认标准的日常办公用品、书报杂志等支出。</w:t>
      </w:r>
    </w:p>
    <w:p>
      <w:pPr>
        <w:pStyle w:val="5"/>
        <w:widowControl/>
        <w:shd w:val="clear" w:color="auto" w:fill="FFFFFF"/>
        <w:spacing w:line="540" w:lineRule="atLeast"/>
        <w:ind w:firstLine="64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手续费：反映单位支付的各类手续费支出。</w:t>
      </w:r>
    </w:p>
    <w:p>
      <w:pPr>
        <w:pStyle w:val="5"/>
        <w:widowControl/>
        <w:shd w:val="clear" w:color="auto" w:fill="FFFFFF"/>
        <w:spacing w:line="540" w:lineRule="atLeast"/>
        <w:ind w:firstLine="64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水费：反映单位支付的水费、污水处理费等支出。</w:t>
      </w:r>
    </w:p>
    <w:p>
      <w:pPr>
        <w:pStyle w:val="5"/>
        <w:widowControl/>
        <w:shd w:val="clear" w:color="auto" w:fill="FFFFFF"/>
        <w:spacing w:line="540" w:lineRule="atLeast"/>
        <w:ind w:firstLine="64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电费：反映单位的电费支出。</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邮电费：反映单位开支的信函、包裹、货物等物品的邮寄费及电话费、电报费、传真费、网络通讯费等。</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差旅费：反映单位工作人员出差发生的城市间交通费、住宿费、伙食补贴费和市内交通费。</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维修(护)费：反映单位日常开支的固定资产（不包括车船等交通工具）修理和维护费用，网络信息系统运行与维护费用，以及按规定提取的修购基金。</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会议费：反映会议中按规定开支的住宿费、伙食费、会议室租金、交通费、文件印刷费、医药费等。</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培训费：反映除因公出国（境）培训费以外的各类培训支出。</w:t>
      </w:r>
    </w:p>
    <w:p>
      <w:pPr>
        <w:pStyle w:val="5"/>
        <w:widowControl/>
        <w:shd w:val="clear" w:color="auto" w:fill="FFFFFF"/>
        <w:spacing w:line="540" w:lineRule="atLeast"/>
        <w:ind w:firstLine="64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公务接待费：反映单位按规定开支的各类公务接待（含外宾接待）费用。</w:t>
      </w:r>
    </w:p>
    <w:p>
      <w:pPr>
        <w:pStyle w:val="5"/>
        <w:widowControl/>
        <w:shd w:val="clear" w:color="auto" w:fill="FFFFFF"/>
        <w:spacing w:line="540" w:lineRule="atLeast"/>
        <w:ind w:firstLine="64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被装购置费：反映法院、检察院、政府各部门以及军队（含武警）的被装购置支出。</w:t>
      </w:r>
    </w:p>
    <w:p>
      <w:pPr>
        <w:pStyle w:val="5"/>
        <w:widowControl/>
        <w:shd w:val="clear" w:color="auto" w:fill="FFFFFF"/>
        <w:spacing w:line="540" w:lineRule="atLeast"/>
        <w:ind w:firstLine="64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委托业务费：反映因委托外单位办理业务而支付的委托业务费。</w:t>
      </w:r>
    </w:p>
    <w:p>
      <w:pPr>
        <w:pStyle w:val="5"/>
        <w:widowControl/>
        <w:shd w:val="clear" w:color="auto" w:fill="FFFFFF"/>
        <w:spacing w:line="540" w:lineRule="atLeast"/>
        <w:ind w:firstLine="64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工会经费：反映单位按规定提取的工会经费。</w:t>
      </w:r>
    </w:p>
    <w:p>
      <w:pPr>
        <w:pStyle w:val="5"/>
        <w:widowControl/>
        <w:shd w:val="clear" w:color="auto" w:fill="FFFFFF"/>
        <w:spacing w:line="540" w:lineRule="atLeast"/>
        <w:ind w:firstLine="640"/>
        <w:jc w:val="both"/>
        <w:rPr>
          <w:rFonts w:hint="eastAsia"/>
          <w:color w:val="000000"/>
          <w:sz w:val="28"/>
          <w:szCs w:val="24"/>
          <w:shd w:val="clear" w:color="auto" w:fill="FFFFFF"/>
        </w:rPr>
      </w:pPr>
      <w:r>
        <w:rPr>
          <w:rFonts w:hint="eastAsia" w:ascii="宋体" w:hAnsi="宋体"/>
          <w:color w:val="000000"/>
          <w:sz w:val="28"/>
          <w:szCs w:val="24"/>
          <w:shd w:val="clear" w:color="auto" w:fill="FFFFFF"/>
        </w:rPr>
        <w:t>福利费：反映单位按规定提取的福利费。</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公务用车运行维护费：反映单位按规定保留的公务用车燃料费、维修费、过桥过路费、保险费、安全奖励费用等支出。</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对个人和家庭的补助：反映政府用于对个人和家庭的补助支出。</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退休费：反映行政事业单位和军队移交政府安置的退休人员的退休费和其他补贴。</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p>
    <w:p>
      <w:pPr>
        <w:pStyle w:val="5"/>
        <w:widowControl/>
        <w:shd w:val="clear" w:color="auto" w:fill="FFFFFF"/>
        <w:spacing w:line="540" w:lineRule="atLeast"/>
        <w:ind w:firstLine="560" w:firstLineChars="200"/>
        <w:jc w:val="both"/>
        <w:rPr>
          <w:rFonts w:hint="default" w:ascii="Times New Roman" w:eastAsia="Times New Roman"/>
          <w:color w:val="333333"/>
          <w:sz w:val="21"/>
          <w:szCs w:val="24"/>
        </w:rPr>
      </w:pPr>
      <w:r>
        <w:rPr>
          <w:rFonts w:hint="eastAsia" w:ascii="宋体" w:hAnsi="宋体"/>
          <w:color w:val="000000"/>
          <w:sz w:val="28"/>
          <w:szCs w:val="24"/>
          <w:shd w:val="clear" w:color="auto" w:fill="FFFFFF"/>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spacing w:line="540" w:lineRule="exact"/>
        <w:ind w:firstLine="640"/>
        <w:rPr>
          <w:rFonts w:hint="eastAsia" w:ascii="宋体"/>
          <w:color w:val="000000"/>
          <w:kern w:val="0"/>
          <w:sz w:val="28"/>
          <w:szCs w:val="24"/>
          <w:highlight w:val="lightGray"/>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5642A8"/>
    <w:multiLevelType w:val="singleLevel"/>
    <w:tmpl w:val="1D5642A8"/>
    <w:lvl w:ilvl="0" w:tentative="0">
      <w:start w:val="1"/>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NTM4MjE5MDE0NTFhOGVlYTIxMGY4N2QzNzliZmE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EC1C3D"/>
    <w:rsid w:val="00F74360"/>
    <w:rsid w:val="00FB462F"/>
    <w:rsid w:val="00FE16FA"/>
    <w:rsid w:val="00FE328A"/>
    <w:rsid w:val="00FE6269"/>
    <w:rsid w:val="00FF5CD6"/>
    <w:rsid w:val="02783976"/>
    <w:rsid w:val="038F541B"/>
    <w:rsid w:val="05FB4FB4"/>
    <w:rsid w:val="07866B35"/>
    <w:rsid w:val="0A31090C"/>
    <w:rsid w:val="0A5847B8"/>
    <w:rsid w:val="0B071D3B"/>
    <w:rsid w:val="0C741652"/>
    <w:rsid w:val="0C9A121F"/>
    <w:rsid w:val="0D551F16"/>
    <w:rsid w:val="0E813BB2"/>
    <w:rsid w:val="0ECE329B"/>
    <w:rsid w:val="108A4FA0"/>
    <w:rsid w:val="115D4462"/>
    <w:rsid w:val="11EE77B0"/>
    <w:rsid w:val="11F0177A"/>
    <w:rsid w:val="121A5F6A"/>
    <w:rsid w:val="12435D4E"/>
    <w:rsid w:val="12535865"/>
    <w:rsid w:val="1457163D"/>
    <w:rsid w:val="14A3781C"/>
    <w:rsid w:val="14E3238A"/>
    <w:rsid w:val="172A128B"/>
    <w:rsid w:val="18D56FD4"/>
    <w:rsid w:val="1BE22134"/>
    <w:rsid w:val="1D0E387D"/>
    <w:rsid w:val="1ED07688"/>
    <w:rsid w:val="1ED8781E"/>
    <w:rsid w:val="20B353F6"/>
    <w:rsid w:val="20CF69FF"/>
    <w:rsid w:val="21EC1A20"/>
    <w:rsid w:val="23503E27"/>
    <w:rsid w:val="25E60A73"/>
    <w:rsid w:val="262F241A"/>
    <w:rsid w:val="267E514F"/>
    <w:rsid w:val="2B2D0EF2"/>
    <w:rsid w:val="2BC04520"/>
    <w:rsid w:val="2C5751B6"/>
    <w:rsid w:val="2C644A05"/>
    <w:rsid w:val="2CAE1BBE"/>
    <w:rsid w:val="2D2F51A5"/>
    <w:rsid w:val="2D4744ED"/>
    <w:rsid w:val="2DDB5965"/>
    <w:rsid w:val="2DDD275B"/>
    <w:rsid w:val="2E075A2A"/>
    <w:rsid w:val="2F25260C"/>
    <w:rsid w:val="2F4862FA"/>
    <w:rsid w:val="2F4C221C"/>
    <w:rsid w:val="2FCD67FF"/>
    <w:rsid w:val="305667F5"/>
    <w:rsid w:val="342D5ABF"/>
    <w:rsid w:val="34452E08"/>
    <w:rsid w:val="34B32468"/>
    <w:rsid w:val="34D66156"/>
    <w:rsid w:val="35D1694D"/>
    <w:rsid w:val="35DD3726"/>
    <w:rsid w:val="35FC6014"/>
    <w:rsid w:val="36266C69"/>
    <w:rsid w:val="36FB00F6"/>
    <w:rsid w:val="37054AD1"/>
    <w:rsid w:val="37395CA4"/>
    <w:rsid w:val="37EF7C5B"/>
    <w:rsid w:val="392F4087"/>
    <w:rsid w:val="3A6C7955"/>
    <w:rsid w:val="3C011D0B"/>
    <w:rsid w:val="3CC35212"/>
    <w:rsid w:val="3E18333B"/>
    <w:rsid w:val="3EE002FD"/>
    <w:rsid w:val="3FC574F3"/>
    <w:rsid w:val="42EB101F"/>
    <w:rsid w:val="433429C6"/>
    <w:rsid w:val="43E47D1F"/>
    <w:rsid w:val="4508410A"/>
    <w:rsid w:val="46AD47DA"/>
    <w:rsid w:val="4714465E"/>
    <w:rsid w:val="479C4FDD"/>
    <w:rsid w:val="47F96E1E"/>
    <w:rsid w:val="48052B82"/>
    <w:rsid w:val="480A1F47"/>
    <w:rsid w:val="48CE11C6"/>
    <w:rsid w:val="4A8C1339"/>
    <w:rsid w:val="4AFF1B0B"/>
    <w:rsid w:val="4BC863A1"/>
    <w:rsid w:val="4D970721"/>
    <w:rsid w:val="4E1B3100"/>
    <w:rsid w:val="4E7D7917"/>
    <w:rsid w:val="509E1DC6"/>
    <w:rsid w:val="51387B25"/>
    <w:rsid w:val="514E7348"/>
    <w:rsid w:val="53430A03"/>
    <w:rsid w:val="53CE4770"/>
    <w:rsid w:val="540F4C99"/>
    <w:rsid w:val="555609D5"/>
    <w:rsid w:val="565C42B5"/>
    <w:rsid w:val="571C7E9D"/>
    <w:rsid w:val="5777D4F5"/>
    <w:rsid w:val="578A6C00"/>
    <w:rsid w:val="592D1F39"/>
    <w:rsid w:val="59D32AE1"/>
    <w:rsid w:val="59D6437F"/>
    <w:rsid w:val="5B5419FF"/>
    <w:rsid w:val="5B9C33A6"/>
    <w:rsid w:val="5BAA161F"/>
    <w:rsid w:val="5BB93F58"/>
    <w:rsid w:val="5C6914DA"/>
    <w:rsid w:val="5E086AD1"/>
    <w:rsid w:val="5EE50BC0"/>
    <w:rsid w:val="5F824661"/>
    <w:rsid w:val="5FC6BB1E"/>
    <w:rsid w:val="5FF720F1"/>
    <w:rsid w:val="5FFC2665"/>
    <w:rsid w:val="61630BEE"/>
    <w:rsid w:val="62051CA5"/>
    <w:rsid w:val="627666FF"/>
    <w:rsid w:val="62C6252E"/>
    <w:rsid w:val="630006BE"/>
    <w:rsid w:val="63807109"/>
    <w:rsid w:val="64F14763"/>
    <w:rsid w:val="65B337C6"/>
    <w:rsid w:val="671B5F04"/>
    <w:rsid w:val="67A6654F"/>
    <w:rsid w:val="682D3D04"/>
    <w:rsid w:val="68E25E09"/>
    <w:rsid w:val="69362744"/>
    <w:rsid w:val="69676DA1"/>
    <w:rsid w:val="6E386F5E"/>
    <w:rsid w:val="6E3F653F"/>
    <w:rsid w:val="6EEB1BAA"/>
    <w:rsid w:val="72514A93"/>
    <w:rsid w:val="72D57472"/>
    <w:rsid w:val="72F555FA"/>
    <w:rsid w:val="72FA6ED8"/>
    <w:rsid w:val="737D59BA"/>
    <w:rsid w:val="742A7349"/>
    <w:rsid w:val="751C1388"/>
    <w:rsid w:val="76D226C7"/>
    <w:rsid w:val="77C37683"/>
    <w:rsid w:val="78175E36"/>
    <w:rsid w:val="789E3E62"/>
    <w:rsid w:val="79200D1B"/>
    <w:rsid w:val="79FF515B"/>
    <w:rsid w:val="7A1E16FE"/>
    <w:rsid w:val="7BEE6EAE"/>
    <w:rsid w:val="7CB458B4"/>
    <w:rsid w:val="7D43322A"/>
    <w:rsid w:val="7D51325A"/>
    <w:rsid w:val="7D9A4A61"/>
    <w:rsid w:val="7DD65A11"/>
    <w:rsid w:val="7E9F11B4"/>
    <w:rsid w:val="7EF96296"/>
    <w:rsid w:val="7F161053"/>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val="0"/>
      <w:spacing w:beforeAutospacing="1" w:afterAutospacing="1"/>
      <w:jc w:val="left"/>
    </w:pPr>
    <w:rPr>
      <w:rFonts w:hint="default" w:ascii="Calibri" w:hAnsi="Calibri"/>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25</Pages>
  <Words>8233</Words>
  <Characters>9911</Characters>
  <Lines>63</Lines>
  <Paragraphs>18</Paragraphs>
  <TotalTime>2</TotalTime>
  <ScaleCrop>false</ScaleCrop>
  <LinksUpToDate>false</LinksUpToDate>
  <CharactersWithSpaces>10816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WPS_1481860299</cp:lastModifiedBy>
  <cp:lastPrinted>2023-08-15T09:28:00Z</cp:lastPrinted>
  <dcterms:modified xsi:type="dcterms:W3CDTF">2023-08-30T02:45:52Z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A51D8EE2033B4FB78F0B18FC960E723F_12</vt:lpwstr>
  </property>
</Properties>
</file>