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沅江市交通运输局</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hAnsi="黑体" w:cs="黑体"/>
          <w:b w:val="0"/>
          <w:bCs/>
          <w:sz w:val="28"/>
          <w:szCs w:val="28"/>
          <w:lang w:val="en-US" w:eastAsia="zh-CN"/>
        </w:rPr>
        <w:t xml:space="preserve"> 沅江市交通运输局</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沅江市交通运输局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（一）贯彻执行国家、省市交通运输法律、法规和政策；参与起草交通运输地方性法规、制度；拟定全市交通运输行业管理规范性文件。</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（二）根据权限负责全市交通运输行业行政许可、行政处罚、行政强制、行政检查和实施其他行政权力；委托授权相关单位实施行政处罚、行政强制、行政检查和其他行政权力；负责全市交通行政执法检查监督。</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三）组织拟订全市综合交通运输发展规划，指导协调执行交通运输规划，组织编制全市公路、水路等交通基础设施发展年度计划并监督实施；参与拟订和实施全市物流业发展战略和规划，拟定有关物流发展的政策和标准并监督实施；负责交通运输行业统计工作。</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四）负责全市交通基础设施建设和质量安全监管，负责监督执行交通基础设施建设与维护的技术规范和标准，维护交通建设市秩序，负责交通工程造价、工程质量、安全生产的监督管理；组织指导全市交通设施的维护；承担全市公路、水路等交通基本建设项目的绩效监督和管理。</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五）负责全市道路运输市场管理。负责机动车维护和营运车辆检测等行业管理；负责道路运输行业从业人员技术培训和定级管理；监督执行交通运输政策、技术规范和技术标准，优化交通运输行业结构；组织指导全市城乡客货运输；组织协调国家重点物质和应急客货运输，维护交通运输市场秩序。</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六）负责全市水路运输市场管理。负责辖区内水上交通企业、营运船舶的审批管理；负责组织协调水上重点物资、防汛抢险的船舶调运工作；负责水运综合统计和统计信息系统的管理工作；负责水上交通运输安全监督管理。</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（七）负责全市公路、水路等交通设施投资管理。负责提出交通固定资产规模、方向和财政性资金安排的建议；按市政府规定权限审批，核准交通固定资产投资项目；负责交通运输预算内资金的申请和拨付。</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（八）组织指导局所属单位职工培训、人才交流和劳资工作；负责所属单位干部管理。</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（九）拟定地方性交通运输行业科技政策和规划、组织重大科技开发、推动行业技术进步、推进交通运输信息化建设、指导行业内环境保护和节能减排工作。</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（十）组织协调全市地方交通战备工作，指导开展对外交流合作。</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eastAsia="zh-CN"/>
        </w:rPr>
        <w:t>（十一）承办市委、市人民政府和上级业务主管部门交办的其他事项。</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bCs/>
          <w:kern w:val="0"/>
          <w:sz w:val="32"/>
          <w:szCs w:val="32"/>
          <w:lang w:eastAsia="zh-CN"/>
        </w:rPr>
        <w:t>2022年本单位由沅江市道路运输服务中心，沅江市交通建设质量安全监督站，沅江市交通运输综合行政执法大队，沅江市交通运输指挥信息中心，沅江市车辆超限超载竹莲检测站，沅江市水运事务中心组成。</w:t>
      </w:r>
    </w:p>
    <w:p>
      <w:pPr>
        <w:widowControl/>
        <w:spacing w:line="600" w:lineRule="exact"/>
        <w:ind w:firstLine="640" w:firstLineChars="2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eastAsia="zh-CN"/>
        </w:rPr>
        <w:t>沅江市交通运输局</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eastAsia="zh-CN"/>
        </w:rPr>
        <w:t>沅江市交通运输局</w:t>
      </w:r>
      <w:r>
        <w:rPr>
          <w:rFonts w:hint="eastAsia" w:ascii="Times New Roman" w:hAnsi="Times New Roman" w:eastAsia="仿宋_GB2312" w:cs="仿宋_GB2312"/>
          <w:bCs/>
          <w:kern w:val="0"/>
          <w:sz w:val="32"/>
          <w:szCs w:val="32"/>
        </w:rPr>
        <w:t>单位本级</w:t>
      </w:r>
      <w:r>
        <w:rPr>
          <w:rFonts w:hint="eastAsia" w:ascii="Times New Roman" w:hAnsi="Times New Roman" w:eastAsia="仿宋_GB2312" w:cs="仿宋_GB2312"/>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5428" w:type="dxa"/>
        <w:tblInd w:w="0" w:type="dxa"/>
        <w:tblLayout w:type="fixed"/>
        <w:tblCellMar>
          <w:top w:w="0" w:type="dxa"/>
          <w:left w:w="0" w:type="dxa"/>
          <w:bottom w:w="0" w:type="dxa"/>
          <w:right w:w="0" w:type="dxa"/>
        </w:tblCellMar>
      </w:tblPr>
      <w:tblGrid>
        <w:gridCol w:w="273"/>
        <w:gridCol w:w="570"/>
        <w:gridCol w:w="3846"/>
        <w:gridCol w:w="1482"/>
        <w:gridCol w:w="1592"/>
        <w:gridCol w:w="1463"/>
        <w:gridCol w:w="1482"/>
        <w:gridCol w:w="1343"/>
        <w:gridCol w:w="1703"/>
        <w:gridCol w:w="1674"/>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95"/>
              <w:gridCol w:w="685"/>
              <w:gridCol w:w="1225"/>
              <w:gridCol w:w="4752"/>
              <w:gridCol w:w="686"/>
              <w:gridCol w:w="1392"/>
              <w:gridCol w:w="690"/>
              <w:gridCol w:w="1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195"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685"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225"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752"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078"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463"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5398"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19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68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22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75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078"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463"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195"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部门：沅江市交通运输局</w:t>
                  </w:r>
                </w:p>
              </w:tc>
              <w:tc>
                <w:tcPr>
                  <w:tcW w:w="68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225"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752" w:type="dxa"/>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078" w:type="dxa"/>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2463"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610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7520"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62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32562.54</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9681.00</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2197.12</w:t>
                  </w: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29.18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41</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19086.00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44</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13734.50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i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11375.12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44440.66</w:t>
                  </w: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44440.66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62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73" w:type="dxa"/>
                <w:trHeight w:val="448" w:hRule="atLeast"/>
              </w:trPr>
              <w:tc>
                <w:tcPr>
                  <w:tcW w:w="4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44440.66</w:t>
                  </w:r>
                </w:p>
              </w:tc>
              <w:tc>
                <w:tcPr>
                  <w:tcW w:w="475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68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44440.66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注：1.本表反映部门本年度的总收支和年末结转结余情况。</w:t>
                  </w:r>
                  <w:r>
                    <w:rPr>
                      <w:rFonts w:hint="eastAsia"/>
                      <w:lang w:val="en-US" w:eastAsia="zh-CN"/>
                    </w:rPr>
                    <w:br w:type="textWrapping"/>
                  </w:r>
                  <w:r>
                    <w:rPr>
                      <w:rFonts w:hint="eastAsia"/>
                      <w:lang w:val="en-US" w:eastAsia="zh-CN"/>
                    </w:rPr>
                    <w:br w:type="textWrapping"/>
                  </w:r>
                  <w:r>
                    <w:rPr>
                      <w:rFonts w:hint="eastAsia"/>
                      <w:lang w:val="en-US" w:eastAsia="zh-CN"/>
                    </w:rPr>
                    <w:t xml:space="preserve">    2.本套报表金额单位转换时可能存在尾数误差。</w:t>
                  </w: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rPr>
                  </w:pP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7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57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84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0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84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color w:val="000000"/>
                <w:sz w:val="20"/>
                <w:szCs w:val="20"/>
                <w:lang w:eastAsia="zh-CN"/>
              </w:rPr>
            </w:pPr>
            <w:r>
              <w:rPr>
                <w:rFonts w:hint="eastAsia"/>
                <w:color w:val="000000"/>
                <w:sz w:val="20"/>
                <w:szCs w:val="20"/>
              </w:rPr>
              <w:t>部门：</w:t>
            </w:r>
          </w:p>
        </w:tc>
        <w:tc>
          <w:tcPr>
            <w:tcW w:w="3846"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lang w:eastAsia="zh-CN"/>
              </w:rPr>
              <w:t>沅江市交通运输局</w:t>
            </w:r>
            <w:r>
              <w:rPr>
                <w:rFonts w:hint="eastAsia"/>
              </w:rPr>
              <w:t>　</w:t>
            </w:r>
          </w:p>
        </w:tc>
        <w:tc>
          <w:tcPr>
            <w:tcW w:w="14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48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0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7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68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4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59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46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8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3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0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7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84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846"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84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384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8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0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7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468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4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5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46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48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3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0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67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468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44,440.66</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42,243.54</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2,197.12</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2010305</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2069999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10.80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10.80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29.18</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29.18</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20807</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就业补助</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3.66</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3.66</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2080799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3.66</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3.66</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抚恤</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25.52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25.52</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13.90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13.90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11.62</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城乡社区支出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2120803</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农林水支出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19,086.00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19,086.00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农业农村</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18,378.00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18,378.00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2130199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18,378.00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18,378.00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708.00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708.00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2130599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708.00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708.00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交通运输支出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13,734.50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13,232.50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502.00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公路水路运输</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11,239.98</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11,237.98</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2,379.96</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2,379.96</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2140102</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1,341.80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1,339.80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2140103</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744.22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744.22</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2140104</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6,629.00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6,629.00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2140199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145.00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145.00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21406</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车辆购置税支出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370.00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370.00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2140601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300.00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2140699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车辆购置税其他支出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其他交通运输支出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2,124.52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1,624.52</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2149901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公共交通运营补助</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1,350.52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1,350.52</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2149999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774.00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274.00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500.00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201.36</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应急管理事务</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2240199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2.40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11,375.12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9,680.00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1,695.12</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9,680.00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9,680.00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2290401</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9,680.00</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9,680.00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22999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其他支出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1,695.12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1,695.12</w:t>
            </w:r>
          </w:p>
        </w:tc>
      </w:tr>
      <w:tr>
        <w:tblPrEx>
          <w:tblCellMar>
            <w:top w:w="0" w:type="dxa"/>
            <w:left w:w="0" w:type="dxa"/>
            <w:bottom w:w="0" w:type="dxa"/>
            <w:right w:w="0" w:type="dxa"/>
          </w:tblCellMar>
        </w:tblPrEx>
        <w:trPr>
          <w:trHeight w:val="450" w:hRule="atLeast"/>
        </w:trPr>
        <w:tc>
          <w:tcPr>
            <w:tcW w:w="84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2299999</w:t>
            </w:r>
          </w:p>
        </w:tc>
        <w:tc>
          <w:tcPr>
            <w:tcW w:w="384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1,695.12</w:t>
            </w:r>
          </w:p>
        </w:tc>
        <w:tc>
          <w:tcPr>
            <w:tcW w:w="15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6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48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3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70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1,695.12</w:t>
            </w: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6"/>
        <w:tblpPr w:leftFromText="180" w:rightFromText="180" w:vertAnchor="text" w:horzAnchor="page" w:tblpX="399" w:tblpY="556"/>
        <w:tblOverlap w:val="never"/>
        <w:tblW w:w="16031" w:type="dxa"/>
        <w:tblInd w:w="0" w:type="dxa"/>
        <w:tblLayout w:type="fixed"/>
        <w:tblCellMar>
          <w:top w:w="0" w:type="dxa"/>
          <w:left w:w="108" w:type="dxa"/>
          <w:bottom w:w="0" w:type="dxa"/>
          <w:right w:w="108" w:type="dxa"/>
        </w:tblCellMar>
      </w:tblPr>
      <w:tblGrid>
        <w:gridCol w:w="986"/>
        <w:gridCol w:w="1169"/>
        <w:gridCol w:w="240"/>
        <w:gridCol w:w="2298"/>
        <w:gridCol w:w="1767"/>
        <w:gridCol w:w="1887"/>
        <w:gridCol w:w="1812"/>
        <w:gridCol w:w="1924"/>
        <w:gridCol w:w="1868"/>
        <w:gridCol w:w="2080"/>
      </w:tblGrid>
      <w:tr>
        <w:tblPrEx>
          <w:tblCellMar>
            <w:top w:w="0" w:type="dxa"/>
            <w:left w:w="108" w:type="dxa"/>
            <w:bottom w:w="0" w:type="dxa"/>
            <w:right w:w="108" w:type="dxa"/>
          </w:tblCellMar>
        </w:tblPrEx>
        <w:trPr>
          <w:trHeight w:val="807" w:hRule="atLeast"/>
        </w:trPr>
        <w:tc>
          <w:tcPr>
            <w:tcW w:w="1603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215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6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1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2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8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155" w:type="dxa"/>
            <w:gridSpan w:val="2"/>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沅江市交通运输局</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9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6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8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12"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2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6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8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469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7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88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8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2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86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0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239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29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3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9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469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7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88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81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2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86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0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469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44,440.66</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2,581.32</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41,859.34</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2010305</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0.30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10.80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29.18</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29.18</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20807</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就业补助</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3.66</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3.66</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2080799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3.66</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3.66</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25.52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13.90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13.90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11.62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2120803</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19,086.00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19,086.00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农业农村</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18,378.00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18,378.00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18,378.00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18,378.00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708.00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708.00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2130599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708.00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708.00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交通运输支出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13,734.50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2,379.96</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11,354.54</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公路水路运输</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11,239.98</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2,379.96</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8,860.02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2,379.96</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2,379.96</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2140102</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1,341.80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1,341.80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2140103</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744.22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744.22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2140104</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6,629.00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6,629.00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145.00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145.00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21406</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车辆购置税支出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370.00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2140601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2140699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车辆购置税其他支出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其他交通运输支出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2,124.52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2,124.52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2149901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公共交通运营补助</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1,350.52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1,350.52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2149999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774.00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774.00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201.36</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应急管理事务</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2240199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2.40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11,375.12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11,375.12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9,680.00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9,680.00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2290401</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9,680.00</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9,680.00</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1,695.12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1,695.12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95" w:hRule="atLeast"/>
        </w:trPr>
        <w:tc>
          <w:tcPr>
            <w:tcW w:w="98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2299999</w:t>
            </w:r>
          </w:p>
        </w:tc>
        <w:tc>
          <w:tcPr>
            <w:tcW w:w="3707" w:type="dxa"/>
            <w:gridSpan w:val="3"/>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76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1,695.12</w:t>
            </w:r>
          </w:p>
        </w:tc>
        <w:tc>
          <w:tcPr>
            <w:tcW w:w="188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1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1,695.12</w:t>
            </w:r>
          </w:p>
        </w:tc>
        <w:tc>
          <w:tcPr>
            <w:tcW w:w="19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208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828" w:hRule="atLeast"/>
        </w:trPr>
        <w:tc>
          <w:tcPr>
            <w:tcW w:w="1603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rPr>
          <w:rFonts w:ascii="Times New Roman" w:hAnsi="Times New Roman" w:eastAsia="方正小标宋_GBK" w:cs="Times New Roman"/>
          <w:color w:val="000000"/>
          <w:kern w:val="0"/>
          <w:sz w:val="36"/>
          <w:szCs w:val="36"/>
        </w:rPr>
      </w:pPr>
    </w:p>
    <w:p>
      <w:pPr>
        <w:pStyle w:val="2"/>
        <w:rPr>
          <w:rFonts w:ascii="Times New Roman" w:hAnsi="Times New Roman" w:eastAsia="方正小标宋_GBK" w:cs="Times New Roman"/>
          <w:color w:val="000000"/>
          <w:kern w:val="0"/>
          <w:sz w:val="36"/>
          <w:szCs w:val="36"/>
        </w:rPr>
      </w:pPr>
    </w:p>
    <w:p>
      <w:pPr>
        <w:pStyle w:val="3"/>
        <w:rPr>
          <w:rFonts w:ascii="Times New Roman" w:hAnsi="Times New Roman" w:eastAsia="方正小标宋_GBK" w:cs="Times New Roman"/>
          <w:color w:val="000000"/>
          <w:kern w:val="0"/>
          <w:sz w:val="36"/>
          <w:szCs w:val="36"/>
        </w:rPr>
      </w:pPr>
    </w:p>
    <w:p>
      <w:pPr>
        <w:rPr>
          <w:rFonts w:ascii="Times New Roman" w:hAnsi="Times New Roman" w:eastAsia="方正小标宋_GBK" w:cs="Times New Roman"/>
          <w:color w:val="000000"/>
          <w:kern w:val="0"/>
          <w:sz w:val="36"/>
          <w:szCs w:val="36"/>
        </w:rPr>
      </w:pPr>
    </w:p>
    <w:p>
      <w:pPr>
        <w:pStyle w:val="2"/>
        <w:rPr>
          <w:rFonts w:ascii="Times New Roman" w:hAnsi="Times New Roman" w:eastAsia="方正小标宋_GBK" w:cs="Times New Roman"/>
          <w:color w:val="000000"/>
          <w:kern w:val="0"/>
          <w:sz w:val="36"/>
          <w:szCs w:val="36"/>
        </w:rPr>
      </w:pPr>
    </w:p>
    <w:p>
      <w:pPr>
        <w:pStyle w:val="3"/>
        <w:rPr>
          <w:rFonts w:ascii="Times New Roman" w:hAnsi="Times New Roman" w:eastAsia="方正小标宋_GBK" w:cs="Times New Roman"/>
          <w:color w:val="000000"/>
          <w:kern w:val="0"/>
          <w:sz w:val="36"/>
          <w:szCs w:val="36"/>
        </w:rPr>
      </w:pPr>
    </w:p>
    <w:p>
      <w:pPr>
        <w:rPr>
          <w:rFonts w:ascii="Times New Roman" w:hAnsi="Times New Roman" w:eastAsia="方正小标宋_GBK" w:cs="Times New Roman"/>
          <w:color w:val="000000"/>
          <w:kern w:val="0"/>
          <w:sz w:val="36"/>
          <w:szCs w:val="36"/>
        </w:rPr>
      </w:pPr>
    </w:p>
    <w:p>
      <w:pPr>
        <w:pStyle w:val="2"/>
        <w:rPr>
          <w:rFonts w:ascii="Times New Roman" w:hAnsi="Times New Roman" w:eastAsia="方正小标宋_GBK" w:cs="Times New Roman"/>
          <w:color w:val="000000"/>
          <w:kern w:val="0"/>
          <w:sz w:val="36"/>
          <w:szCs w:val="36"/>
        </w:rPr>
      </w:pPr>
    </w:p>
    <w:p>
      <w:pPr>
        <w:pStyle w:val="3"/>
        <w:rPr>
          <w:rFonts w:ascii="Times New Roman" w:hAnsi="Times New Roman" w:eastAsia="方正小标宋_GBK" w:cs="Times New Roman"/>
          <w:color w:val="000000"/>
          <w:kern w:val="0"/>
          <w:sz w:val="36"/>
          <w:szCs w:val="36"/>
        </w:rPr>
      </w:pPr>
    </w:p>
    <w:p>
      <w:pPr>
        <w:rPr>
          <w:rFonts w:ascii="Times New Roman" w:hAnsi="Times New Roman" w:eastAsia="方正小标宋_GBK" w:cs="Times New Roman"/>
          <w:color w:val="000000"/>
          <w:kern w:val="0"/>
          <w:sz w:val="36"/>
          <w:szCs w:val="36"/>
        </w:rPr>
      </w:pPr>
    </w:p>
    <w:p>
      <w:pPr>
        <w:pStyle w:val="2"/>
        <w:rPr>
          <w:rFonts w:ascii="Times New Roman" w:hAnsi="Times New Roman" w:eastAsia="方正小标宋_GBK" w:cs="Times New Roman"/>
          <w:color w:val="000000"/>
          <w:kern w:val="0"/>
          <w:sz w:val="36"/>
          <w:szCs w:val="36"/>
        </w:rPr>
      </w:pPr>
    </w:p>
    <w:p>
      <w:pPr>
        <w:pStyle w:val="3"/>
        <w:rPr>
          <w:rFonts w:ascii="Times New Roman" w:hAnsi="Times New Roman" w:eastAsia="方正小标宋_GBK" w:cs="Times New Roman"/>
          <w:color w:val="000000"/>
          <w:kern w:val="0"/>
          <w:sz w:val="36"/>
          <w:szCs w:val="36"/>
        </w:rPr>
      </w:pPr>
    </w:p>
    <w:p>
      <w:pPr>
        <w:rPr>
          <w:rFonts w:ascii="Times New Roman" w:hAnsi="Times New Roman" w:eastAsia="方正小标宋_GBK" w:cs="Times New Roman"/>
          <w:color w:val="000000"/>
          <w:kern w:val="0"/>
          <w:sz w:val="36"/>
          <w:szCs w:val="36"/>
        </w:rPr>
      </w:pPr>
    </w:p>
    <w:p>
      <w:pPr>
        <w:pStyle w:val="2"/>
      </w:pPr>
    </w:p>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64"/>
        <w:gridCol w:w="604"/>
        <w:gridCol w:w="1215"/>
        <w:gridCol w:w="303"/>
        <w:gridCol w:w="2889"/>
        <w:gridCol w:w="626"/>
        <w:gridCol w:w="433"/>
        <w:gridCol w:w="1560"/>
        <w:gridCol w:w="1383"/>
        <w:gridCol w:w="1383"/>
        <w:gridCol w:w="1561"/>
      </w:tblGrid>
      <w:tr>
        <w:tblPrEx>
          <w:tblCellMar>
            <w:top w:w="0" w:type="dxa"/>
            <w:left w:w="108" w:type="dxa"/>
            <w:bottom w:w="0" w:type="dxa"/>
            <w:right w:w="108" w:type="dxa"/>
          </w:tblCellMar>
        </w:tblPrEx>
        <w:trPr>
          <w:trHeight w:val="285" w:hRule="atLeast"/>
        </w:trPr>
        <w:tc>
          <w:tcPr>
            <w:tcW w:w="3564"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60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18"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15"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60"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6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6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1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64"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沅江市交通运输局</w:t>
            </w:r>
          </w:p>
        </w:tc>
        <w:tc>
          <w:tcPr>
            <w:tcW w:w="6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18"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383"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38"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6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6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8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6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32,562.54</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0.30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0.30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9,681.00</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10.80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29.18</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29.18</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九、卫生健康支出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十、节能环保支出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十一、城乡社区支出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十二、农林水支出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19,086.00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19,086.00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十三、交通运输支出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13,232.50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13,232.50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十六、金融支出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十九、住房保障支出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201.36</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201.36</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二十三、其他支出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9,680.00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9,680.00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21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19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42,243.54</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42,243.54</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32,562.54</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9,681.00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60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0.00</w:t>
            </w:r>
          </w:p>
        </w:tc>
        <w:tc>
          <w:tcPr>
            <w:tcW w:w="319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5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60"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3"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60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21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42,243.54</w:t>
            </w:r>
          </w:p>
        </w:tc>
        <w:tc>
          <w:tcPr>
            <w:tcW w:w="319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59"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6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42,243.54</w:t>
            </w:r>
          </w:p>
        </w:tc>
        <w:tc>
          <w:tcPr>
            <w:tcW w:w="138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32,562.54</w:t>
            </w:r>
          </w:p>
        </w:tc>
        <w:tc>
          <w:tcPr>
            <w:tcW w:w="138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9,681.00</w:t>
            </w:r>
          </w:p>
        </w:tc>
        <w:tc>
          <w:tcPr>
            <w:tcW w:w="15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pStyle w:val="2"/>
        <w:rPr>
          <w:rFonts w:ascii="Times New Roman" w:hAnsi="Times New Roman" w:eastAsia="方正小标宋_GBK" w:cs="Times New Roman"/>
          <w:kern w:val="0"/>
          <w:sz w:val="36"/>
          <w:szCs w:val="36"/>
        </w:rPr>
      </w:pPr>
    </w:p>
    <w:p>
      <w:pPr>
        <w:pStyle w:val="3"/>
        <w:rPr>
          <w:rFonts w:ascii="Times New Roman" w:hAnsi="Times New Roman" w:eastAsia="方正小标宋_GBK" w:cs="Times New Roman"/>
          <w:kern w:val="0"/>
          <w:sz w:val="36"/>
          <w:szCs w:val="36"/>
        </w:rPr>
      </w:pPr>
    </w:p>
    <w:p>
      <w:pPr>
        <w:rPr>
          <w:rFonts w:ascii="Times New Roman" w:hAnsi="Times New Roman" w:eastAsia="方正小标宋_GBK" w:cs="Times New Roman"/>
          <w:kern w:val="0"/>
          <w:sz w:val="36"/>
          <w:szCs w:val="36"/>
        </w:rPr>
      </w:pPr>
    </w:p>
    <w:p>
      <w:pPr>
        <w:pStyle w:val="2"/>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沅江市交通运输局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6"/>
        <w:gridCol w:w="3284"/>
        <w:gridCol w:w="2844"/>
        <w:gridCol w:w="3284"/>
        <w:gridCol w:w="2845"/>
      </w:tblGrid>
      <w:tr>
        <w:tblPrEx>
          <w:tblCellMar>
            <w:top w:w="0" w:type="dxa"/>
            <w:left w:w="108" w:type="dxa"/>
            <w:bottom w:w="0" w:type="dxa"/>
            <w:right w:w="108" w:type="dxa"/>
          </w:tblCellMar>
        </w:tblPrEx>
        <w:trPr>
          <w:trHeight w:val="405" w:hRule="atLeast"/>
          <w:jc w:val="center"/>
        </w:trPr>
        <w:tc>
          <w:tcPr>
            <w:tcW w:w="472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32,562.54</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2,581.32</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29,981.22</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2010305</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专项业务及机关事务管理</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29.18</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29.18</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就业补助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3.66</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3.66</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25.52</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13.90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13.90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11.62</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19,086.00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19,086.00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农业农村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18,378.00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18,378.00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18,378.00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18,378.00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708.00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708.00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2130599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708.00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708.00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交通运输支出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13,232.50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2,379.96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10,852.54</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公路水路运输</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11,237.98</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2,379.96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8,858.02</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2,379.96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2,379.96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2140102</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1,339.80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1,339.80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2140103</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744.22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744.22</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2140104</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6,629.00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6,629.00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145.00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21406</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车辆购置税支出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370.00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2140601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2140699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车辆购置税其他支出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其他交通运输支出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1,624.52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1,624.52</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2149901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公共交通运营补助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1,350.52</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1,350.52</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2149999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274.00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274.00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应急管理事务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2240199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1022"/>
        <w:gridCol w:w="620"/>
        <w:gridCol w:w="240"/>
        <w:gridCol w:w="79"/>
        <w:gridCol w:w="1564"/>
        <w:gridCol w:w="1459"/>
        <w:gridCol w:w="538"/>
        <w:gridCol w:w="457"/>
        <w:gridCol w:w="1105"/>
        <w:gridCol w:w="277"/>
        <w:gridCol w:w="1795"/>
        <w:gridCol w:w="141"/>
        <w:gridCol w:w="659"/>
        <w:gridCol w:w="1106"/>
        <w:gridCol w:w="319"/>
        <w:gridCol w:w="1898"/>
        <w:gridCol w:w="1534"/>
        <w:gridCol w:w="488"/>
        <w:gridCol w:w="313"/>
      </w:tblGrid>
      <w:tr>
        <w:tblPrEx>
          <w:tblCellMar>
            <w:top w:w="0" w:type="dxa"/>
            <w:left w:w="108" w:type="dxa"/>
            <w:bottom w:w="0" w:type="dxa"/>
            <w:right w:w="108" w:type="dxa"/>
          </w:tblCellMar>
        </w:tblPrEx>
        <w:trPr>
          <w:trHeight w:val="113" w:hRule="atLeast"/>
        </w:trPr>
        <w:tc>
          <w:tcPr>
            <w:tcW w:w="15614"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沅江市交通运输局</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96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02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07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75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2,362.59</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218.73</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1,493.47</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43.25</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28.59</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9.28</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0.66</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333.03</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0.94</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0.20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146.65</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188.08</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21.57</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201.36</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3.08</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1.67</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9.56</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6.16</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9.39</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64.26</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11.21</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3.87</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961"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02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95"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0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07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0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2.55</w:t>
            </w:r>
          </w:p>
        </w:tc>
        <w:tc>
          <w:tcPr>
            <w:tcW w:w="11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75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01"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98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995"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2,362.59</w:t>
            </w:r>
          </w:p>
        </w:tc>
        <w:tc>
          <w:tcPr>
            <w:tcW w:w="8834"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80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218.73</w:t>
            </w:r>
          </w:p>
        </w:tc>
      </w:tr>
      <w:tr>
        <w:tblPrEx>
          <w:tblCellMar>
            <w:top w:w="0" w:type="dxa"/>
            <w:left w:w="108" w:type="dxa"/>
            <w:bottom w:w="0" w:type="dxa"/>
            <w:right w:w="108" w:type="dxa"/>
          </w:tblCellMar>
        </w:tblPrEx>
        <w:trPr>
          <w:trHeight w:val="284" w:hRule="exact"/>
        </w:trPr>
        <w:tc>
          <w:tcPr>
            <w:tcW w:w="15614" w:type="dxa"/>
            <w:gridSpan w:val="1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690" w:hRule="atLeast"/>
        </w:trPr>
        <w:tc>
          <w:tcPr>
            <w:tcW w:w="15301" w:type="dxa"/>
            <w:gridSpan w:val="18"/>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345" w:hRule="atLeast"/>
        </w:trPr>
        <w:tc>
          <w:tcPr>
            <w:tcW w:w="1642"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643"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997"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83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93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8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89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2"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690" w:hRule="atLeast"/>
        </w:trPr>
        <w:tc>
          <w:tcPr>
            <w:tcW w:w="1642" w:type="dxa"/>
            <w:gridSpan w:val="2"/>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部门：沅江市交通运输局</w:t>
            </w:r>
          </w:p>
        </w:tc>
        <w:tc>
          <w:tcPr>
            <w:tcW w:w="24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643"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997"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83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936"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84"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898"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22"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459" w:hRule="atLeast"/>
        </w:trPr>
        <w:tc>
          <w:tcPr>
            <w:tcW w:w="3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3"/>
                <w:lang w:val="en-US" w:eastAsia="zh-CN" w:bidi="ar"/>
              </w:rPr>
              <w:t xml:space="preserve">   </w:t>
            </w:r>
            <w:r>
              <w:rPr>
                <w:rStyle w:val="14"/>
                <w:lang w:val="en-US" w:eastAsia="zh-CN" w:bidi="ar"/>
              </w:rPr>
              <w:t>目</w:t>
            </w:r>
          </w:p>
        </w:tc>
        <w:tc>
          <w:tcPr>
            <w:tcW w:w="199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183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591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0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609" w:hRule="atLeast"/>
        </w:trPr>
        <w:tc>
          <w:tcPr>
            <w:tcW w:w="188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6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9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0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18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0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409" w:hRule="atLeast"/>
        </w:trPr>
        <w:tc>
          <w:tcPr>
            <w:tcW w:w="1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188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9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3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3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3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35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合计</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0.00</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9,681.00</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9,681.00</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0.00</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9,681.00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212</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21208</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2120803</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1.00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229</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其他支出</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22904</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509" w:hRule="atLeast"/>
        </w:trPr>
        <w:tc>
          <w:tcPr>
            <w:tcW w:w="1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2290401</w:t>
            </w:r>
          </w:p>
        </w:tc>
        <w:tc>
          <w:tcPr>
            <w:tcW w:w="250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99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19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c>
          <w:tcPr>
            <w:tcW w:w="18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9,680.00</w:t>
            </w:r>
          </w:p>
        </w:tc>
        <w:tc>
          <w:tcPr>
            <w:tcW w:w="20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13" w:type="dxa"/>
          <w:trHeight w:val="725" w:hRule="atLeast"/>
        </w:trPr>
        <w:tc>
          <w:tcPr>
            <w:tcW w:w="15301" w:type="dxa"/>
            <w:gridSpan w:val="1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6"/>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653"/>
        <w:gridCol w:w="2110"/>
        <w:gridCol w:w="3031"/>
        <w:gridCol w:w="3031"/>
        <w:gridCol w:w="3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241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65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03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03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部门：沅江市交通运输局</w:t>
            </w:r>
          </w:p>
        </w:tc>
        <w:tc>
          <w:tcPr>
            <w:tcW w:w="65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110"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03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03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5"/>
                <w:lang w:val="en-US" w:eastAsia="zh-CN" w:bidi="ar"/>
              </w:rPr>
              <w:t>目</w:t>
            </w:r>
          </w:p>
        </w:tc>
        <w:tc>
          <w:tcPr>
            <w:tcW w:w="99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3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517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0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87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说明：我单位没有使用国有资本经营预算安排的支出，故本表无数据。（当表格数据为空时，应有此说明）</w:t>
            </w:r>
          </w:p>
        </w:tc>
      </w:tr>
    </w:tbl>
    <w:p>
      <w:pPr>
        <w:widowControl/>
        <w:jc w:val="center"/>
        <w:rPr>
          <w:rFonts w:hint="eastAsia" w:ascii="Times New Roman" w:hAnsi="Times New Roman" w:eastAsia="方正小标宋_GBK" w:cs="Times New Roman"/>
          <w:color w:val="000000"/>
          <w:kern w:val="0"/>
          <w:sz w:val="36"/>
          <w:szCs w:val="36"/>
        </w:rPr>
      </w:pPr>
    </w:p>
    <w:tbl>
      <w:tblPr>
        <w:tblStyle w:val="6"/>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1174"/>
        <w:gridCol w:w="1149"/>
        <w:gridCol w:w="1124"/>
        <w:gridCol w:w="1149"/>
        <w:gridCol w:w="1124"/>
        <w:gridCol w:w="1149"/>
        <w:gridCol w:w="1174"/>
        <w:gridCol w:w="1149"/>
        <w:gridCol w:w="1124"/>
        <w:gridCol w:w="1149"/>
        <w:gridCol w:w="1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部门：沅江市交通运输局</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88881.32</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59404.88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201.53</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项目支出增加。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44440.66</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42243.54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95.06</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2197.12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4.94</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44440.66</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2581.32</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5.81</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41859.34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94.19</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84487.08</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64290.26</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318.32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项目增加。</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42243.54</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95.06</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32145.13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318.32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项目支出增加。</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42243.54</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0.3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0.0007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科学技术</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10.8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0.03</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社会保障和就业</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29.18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0.07</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城乡社区</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农林水</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19086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45.18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交通运输</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13232.5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31.32</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住房保障</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201.36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0.48</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灾害防治及应急管理</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0.006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其他</w:t>
      </w:r>
      <w:r>
        <w:rPr>
          <w:rFonts w:hint="eastAsia" w:ascii="Times New Roman" w:hAnsi="Times New Roman" w:eastAsia="仿宋_GB2312"/>
          <w:sz w:val="32"/>
          <w:szCs w:val="32"/>
        </w:rPr>
        <w:t>（类）支出</w:t>
      </w:r>
      <w:r>
        <w:rPr>
          <w:rFonts w:hint="eastAsia" w:ascii="Times New Roman" w:hAnsi="Times New Roman" w:eastAsia="仿宋_GB2312"/>
          <w:sz w:val="32"/>
          <w:szCs w:val="32"/>
          <w:lang w:val="en-US" w:eastAsia="zh-CN"/>
        </w:rPr>
        <w:t>9680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22.91</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3579.97</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32562.54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909.58</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1、一般公共服务支出（类）</w:t>
      </w:r>
      <w:r>
        <w:rPr>
          <w:rFonts w:hint="eastAsia" w:ascii="Times New Roman" w:hAnsi="Times New Roman" w:eastAsia="仿宋_GB2312"/>
          <w:sz w:val="32"/>
          <w:szCs w:val="32"/>
          <w:lang w:eastAsia="zh-CN"/>
        </w:rPr>
        <w:t>政府办公厅（室）及相关机构事务</w:t>
      </w:r>
      <w:r>
        <w:rPr>
          <w:rFonts w:hint="eastAsia" w:ascii="Times New Roman" w:hAnsi="Times New Roman" w:eastAsia="仿宋_GB2312"/>
          <w:sz w:val="32"/>
          <w:szCs w:val="32"/>
        </w:rPr>
        <w:t>（款）</w:t>
      </w:r>
      <w:r>
        <w:rPr>
          <w:rFonts w:hint="eastAsia" w:ascii="Times New Roman" w:hAnsi="Times New Roman" w:eastAsia="仿宋_GB2312"/>
          <w:sz w:val="32"/>
          <w:szCs w:val="32"/>
          <w:lang w:eastAsia="zh-CN"/>
        </w:rPr>
        <w:t>专项业务及机关事务管理</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提案交办会表彰奖励。</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2、科学技术支出（类）其他科学技术支出（款）其他科学技术支出（项）。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高质量发展推进表彰奖励，政务服务表彰奖励及禁捕退捕督查激励奖励</w:t>
      </w:r>
      <w:r>
        <w:rPr>
          <w:rFonts w:hint="eastAsia" w:ascii="Times New Roman" w:hAnsi="Times New Roman" w:eastAsia="仿宋_GB2312"/>
          <w:sz w:val="32"/>
          <w:szCs w:val="32"/>
          <w:lang w:val="en-US"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3、社会保障和就业支出（类）就业补助（款）其他就业补助支出（项）。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3.66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退役人员再就业援助金</w:t>
      </w:r>
      <w:r>
        <w:rPr>
          <w:rFonts w:hint="eastAsia" w:ascii="Times New Roman" w:hAnsi="Times New Roman" w:eastAsia="仿宋_GB2312"/>
          <w:sz w:val="32"/>
          <w:szCs w:val="32"/>
          <w:lang w:val="en-US"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4、社会保障和就业支出（类）抚恤（款）死亡抚恤（项）。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死亡抚恤金。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5、社会保障和就业支出（类）抚恤（款）其他优抚支出（项）。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11.62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再就业援助金</w:t>
      </w:r>
      <w:r>
        <w:rPr>
          <w:rFonts w:hint="eastAsia" w:ascii="Times New Roman" w:hAnsi="Times New Roman" w:eastAsia="仿宋_GB2312"/>
          <w:sz w:val="32"/>
          <w:szCs w:val="32"/>
          <w:lang w:val="en-US"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6、农林水支出（类）农业农村（款）其他农业农村支出（项）。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18378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交通项目建设资金。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7、农林水支出（类）巩固脱贫衔接乡村振兴（款）其他巩固脱贫衔接乡村振兴支出（项）。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708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农村公路建设资金和乡村振兴帮扶工作经费。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8、交通运输支出（类）公路水路运输（款）行政运行（项）。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2438.81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2379.96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97.59</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机构改革。</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9、交通运输支出（类）公路水路运输（款）一般行政管理事务（项）。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939.8</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1339.8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142.56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机构改革。</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10、交通运输支出（类）公路水路运输（款）机关服务（项）。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744.22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工资提标绩效考核交通补贴及协警工作经费等。</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11、交通运输支出（类）公路水路运输（款）公路建设（项）。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6629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交通项目建设资金。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12、交通运输支出（类）公路水路运输（款）其他公路水路运输支出（项）。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春运工作经费及五类人员补贴及城市公交车车辆收购经费。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13、交通运输支出（类）车辆购置税支出（款）车辆购置税用于公路等基础设施建设支出（项）。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客运总站建设资金。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14、交通运输支出（类）车辆购置税支出（款）车辆购置税其他支出（项）。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应急抢通资金。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15、交通运输支出（类）其他交通运输支出（款）公共交通运营补助（项）。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1350.52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公共汽车老年人乘车补贴资金。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16、交通运输支出（类）其他交通运输支出（款）其他交通运输支出（项）。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274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农村公路建设资金。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17、住房保障支出（类）住房改革支出（款）住房公积金（项）。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201.36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201.36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w:t>
      </w:r>
      <w:r>
        <w:rPr>
          <w:rFonts w:hint="eastAsia" w:ascii="Times New Roman" w:hAnsi="Times New Roman" w:eastAsia="仿宋_GB2312"/>
          <w:sz w:val="32"/>
          <w:szCs w:val="32"/>
        </w:rPr>
        <w:t>于年初预算数</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18、灾害防治及应急管理支出（类）应急管理事务（款）其他应急管理支出（项）。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防汛演练经费。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2581.32</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2362.59</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91.53</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lang w:eastAsia="zh-CN"/>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218.73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8.47</w:t>
      </w:r>
      <w:r>
        <w:rPr>
          <w:rFonts w:hint="eastAsia" w:ascii="Times New Roman" w:hAnsi="Times New Roman" w:eastAsia="仿宋_GB2312"/>
          <w:sz w:val="32"/>
          <w:szCs w:val="32"/>
        </w:rPr>
        <w:t>%，主要包括办公费、印刷费、咨询费、手续费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20.6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20.6</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9.39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9.39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0.01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0.11</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厉行节约</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11.21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11.21</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0.01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0.09</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厉行节约</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9.39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45.58</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11.21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54.42</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、公务接待费支出决算为</w:t>
      </w:r>
      <w:r>
        <w:rPr>
          <w:rFonts w:hint="eastAsia" w:ascii="Times New Roman" w:hAnsi="Times New Roman" w:eastAsia="仿宋_GB2312"/>
          <w:sz w:val="32"/>
          <w:szCs w:val="32"/>
          <w:lang w:val="en-US" w:eastAsia="zh-CN"/>
        </w:rPr>
        <w:t>9.39</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58</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452</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eastAsia="zh-CN"/>
        </w:rPr>
        <w:t>检查调研工作</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、公务用车购置费及运行维护费支出决算为</w:t>
      </w:r>
      <w:r>
        <w:rPr>
          <w:rFonts w:hint="eastAsia" w:ascii="Times New Roman" w:hAnsi="Times New Roman" w:eastAsia="仿宋_GB2312"/>
          <w:sz w:val="32"/>
          <w:szCs w:val="32"/>
          <w:lang w:val="en-US" w:eastAsia="zh-CN"/>
        </w:rPr>
        <w:t>11.21</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万元，公务用车运行维护费</w:t>
      </w:r>
      <w:r>
        <w:rPr>
          <w:rFonts w:hint="eastAsia" w:ascii="Times New Roman" w:hAnsi="Times New Roman" w:eastAsia="仿宋_GB2312"/>
          <w:sz w:val="32"/>
          <w:szCs w:val="32"/>
          <w:lang w:val="en-US" w:eastAsia="zh-CN"/>
        </w:rPr>
        <w:t>11.21</w:t>
      </w:r>
      <w:r>
        <w:rPr>
          <w:rFonts w:hint="eastAsia" w:ascii="Times New Roman" w:hAnsi="Times New Roman" w:eastAsia="仿宋_GB2312"/>
          <w:sz w:val="32"/>
          <w:szCs w:val="32"/>
        </w:rPr>
        <w:t>万元，主要是</w:t>
      </w:r>
      <w:r>
        <w:rPr>
          <w:rFonts w:hint="eastAsia" w:ascii="Times New Roman" w:hAnsi="Times New Roman" w:eastAsia="仿宋_GB2312"/>
          <w:sz w:val="32"/>
          <w:szCs w:val="32"/>
          <w:lang w:eastAsia="zh-CN"/>
        </w:rPr>
        <w:t>油费及维修</w:t>
      </w:r>
      <w:r>
        <w:rPr>
          <w:rFonts w:hint="eastAsia" w:ascii="Times New Roman" w:hAnsi="Times New Roman" w:eastAsia="仿宋_GB2312"/>
          <w:sz w:val="32"/>
          <w:szCs w:val="32"/>
        </w:rPr>
        <w:t>支出，截止202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9681</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9681</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9681</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1、城乡社区支出（类）国有土地使用权出让收入安排的支出（款）城市建设支出（项）。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创建工作表彰奖励</w:t>
      </w:r>
      <w:r>
        <w:rPr>
          <w:rFonts w:hint="eastAsia" w:ascii="Times New Roman" w:hAnsi="Times New Roman" w:eastAsia="仿宋_GB2312"/>
          <w:sz w:val="32"/>
          <w:szCs w:val="32"/>
          <w:lang w:val="en-US"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2、其他支出（类）其他政府性基金及对应专项债务收入安排的支出（款）其他政府性基金安排的支出（项）。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9680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砂管工资经费及客运总站启用工作经费及交通项目建设资金。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218.73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比上年决算数减少</w:t>
      </w:r>
      <w:r>
        <w:rPr>
          <w:rFonts w:hint="eastAsia" w:ascii="Times New Roman" w:hAnsi="Times New Roman" w:eastAsia="仿宋_GB2312"/>
          <w:sz w:val="32"/>
          <w:szCs w:val="32"/>
          <w:lang w:val="en-US" w:eastAsia="zh-CN"/>
        </w:rPr>
        <w:t>0.05</w:t>
      </w:r>
      <w:r>
        <w:rPr>
          <w:rFonts w:hint="eastAsia" w:ascii="Times New Roman" w:hAnsi="Times New Roman" w:eastAsia="仿宋_GB2312"/>
          <w:sz w:val="32"/>
          <w:szCs w:val="32"/>
        </w:rPr>
        <w:t>万元，降低</w:t>
      </w:r>
      <w:r>
        <w:rPr>
          <w:rFonts w:hint="eastAsia" w:ascii="Times New Roman" w:hAnsi="Times New Roman" w:eastAsia="仿宋_GB2312"/>
          <w:sz w:val="32"/>
          <w:szCs w:val="32"/>
          <w:lang w:val="en-US" w:eastAsia="zh-CN"/>
        </w:rPr>
        <w:t>0.02</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厉行节约</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9.56</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eastAsia="zh-CN"/>
        </w:rPr>
        <w:t>党建、法制、安全生产</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562</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党建、法制、安全生产的会议</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6.16</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事业单位人员继续教育</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185</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事业单位人员继续教育</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183.03</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47.8</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22</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113.23</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27.32</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27.32</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20.92</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45.45</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26.49</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辆，其他用车主要是</w:t>
      </w:r>
      <w:r>
        <w:rPr>
          <w:rFonts w:hint="eastAsia" w:ascii="Times New Roman" w:hAnsi="Times New Roman" w:eastAsia="仿宋_GB2312"/>
          <w:sz w:val="32"/>
          <w:szCs w:val="32"/>
          <w:lang w:eastAsia="zh-CN"/>
        </w:rPr>
        <w:t>交通执法用车</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根据预算绩效管理要求，我部门组织对2022年度一般公共预算项目支出全面开展绩效自评，其中，一级项目13个，二级项目0个，共涉及资金993.4万元，占一般公共预算项目支出总额的100%。</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组织对安全生产等1个项目开展了部门评价，涉及一般公共预算支出100 万元，政府性基金预算支出0万元，国有资本经营预算支出0万元。从评价情况来看良好。</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组织对沅江市交通运输局等1个单位开展整体支出绩效评价，涉及一般公共预算支出3579.97万元，政府性基金预算支出0万元。从评价情况来看良好。</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 xml:space="preserve">    预算执行中存在的问题主要是基础设施专项资金未纳入年初预算，所以造成预决算收入支出差异大。</w:t>
      </w:r>
    </w:p>
    <w:p>
      <w:pPr>
        <w:pStyle w:val="10"/>
        <w:jc w:val="center"/>
        <w:rPr>
          <w:rFonts w:hint="eastAsia" w:ascii="Times New Roman" w:hAnsi="Times New Roman" w:eastAsia="仿宋_GB2312" w:cs="黑体"/>
          <w:color w:val="000000"/>
          <w:kern w:val="0"/>
          <w:sz w:val="32"/>
          <w:szCs w:val="32"/>
          <w:lang w:val="en-US" w:eastAsia="zh-CN" w:bidi="ar-SA"/>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bookmarkStart w:id="3" w:name="_GoBack"/>
      <w:bookmarkEnd w:id="3"/>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OGFhYzEyMzA5YjcxNzYyMDJmYzUzOTUyMmRkZTk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1CAC44F0"/>
    <w:rsid w:val="25D80104"/>
    <w:rsid w:val="5777D4F5"/>
    <w:rsid w:val="5FC6BB1E"/>
    <w:rsid w:val="5FF720F1"/>
    <w:rsid w:val="61496499"/>
    <w:rsid w:val="626B2028"/>
    <w:rsid w:val="737D59BA"/>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9"/>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styleId="4">
    <w:name w:val="Balloon Text"/>
    <w:basedOn w:val="1"/>
    <w:link w:val="12"/>
    <w:semiHidden/>
    <w:unhideWhenUsed/>
    <w:qFormat/>
    <w:uiPriority w:val="99"/>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4"/>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34</Pages>
  <Words>10281</Words>
  <Characters>15672</Characters>
  <Lines>63</Lines>
  <Paragraphs>18</Paragraphs>
  <TotalTime>6</TotalTime>
  <ScaleCrop>false</ScaleCrop>
  <LinksUpToDate>false</LinksUpToDate>
  <CharactersWithSpaces>16497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筱梓</cp:lastModifiedBy>
  <cp:lastPrinted>2023-08-15T09:28:00Z</cp:lastPrinted>
  <dcterms:modified xsi:type="dcterms:W3CDTF">2023-08-25T07:06:10Z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E06684EFD36B40CAB20F4AA8216C1C7B_12</vt:lpwstr>
  </property>
</Properties>
</file>