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大标宋简体"/>
          <w:sz w:val="48"/>
          <w:lang w:val="en-US" w:eastAsia="zh-CN"/>
        </w:rPr>
      </w:pPr>
      <w:r>
        <w:rPr>
          <w:rFonts w:hint="eastAsia" w:eastAsia="方正大标宋简体"/>
          <w:sz w:val="48"/>
        </w:rPr>
        <w:t>二0二二年</w:t>
      </w:r>
      <w:r>
        <w:rPr>
          <w:rFonts w:hint="eastAsia" w:ascii="方正小标宋_GBK" w:eastAsia="方正小标宋_GBK" w:cs="黑体"/>
          <w:sz w:val="44"/>
          <w:szCs w:val="44"/>
        </w:rPr>
        <w:t>沅江市财政总决算</w:t>
      </w:r>
      <w:r>
        <w:rPr>
          <w:rFonts w:hint="eastAsia" w:eastAsia="方正大标宋简体"/>
          <w:sz w:val="48"/>
          <w:lang w:eastAsia="zh-CN"/>
        </w:rPr>
        <w:t>整体情况</w:t>
      </w:r>
    </w:p>
    <w:p>
      <w:pPr>
        <w:ind w:firstLine="63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63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一、财政预算收支及平衡情况</w:t>
      </w:r>
    </w:p>
    <w:p>
      <w:pPr>
        <w:ind w:firstLine="630"/>
        <w:rPr>
          <w:rFonts w:hint="eastAsia"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一般公共预算收支平衡情况：一般公共预算总收入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739042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万元。其中：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年全市共完成本级地方财政收入</w:t>
      </w:r>
      <w:r>
        <w:rPr>
          <w:rFonts w:hint="eastAsia" w:ascii="仿宋" w:hAnsi="仿宋" w:eastAsia="仿宋" w:cs="仿宋"/>
          <w:sz w:val="32"/>
          <w:szCs w:val="32"/>
        </w:rPr>
        <w:t>137099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万元（不含上划两税，上划中央、省、地的企业所得税、个人所得税、营业税、资源税及城镇土地使用税），上级补助收入</w:t>
      </w:r>
      <w:r>
        <w:rPr>
          <w:rFonts w:hint="eastAsia" w:ascii="仿宋" w:hAnsi="仿宋" w:eastAsia="仿宋" w:cs="仿宋"/>
          <w:sz w:val="32"/>
          <w:szCs w:val="32"/>
        </w:rPr>
        <w:t>35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670</w:t>
      </w:r>
      <w:r>
        <w:rPr>
          <w:rFonts w:hint="eastAsia" w:ascii="仿宋" w:hAnsi="仿宋" w:eastAsia="仿宋" w:cs="仿宋"/>
          <w:sz w:val="32"/>
          <w:szCs w:val="32"/>
        </w:rPr>
        <w:t>9万元，转贷地方债券收入93326万元，上年结余79008万元，调入资金70000万元，动用预算稳定调节基金2900万元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；当年本级实际支出</w:t>
      </w:r>
      <w:r>
        <w:rPr>
          <w:rFonts w:hint="eastAsia" w:ascii="仿宋" w:hAnsi="仿宋" w:eastAsia="仿宋" w:cs="仿宋"/>
          <w:sz w:val="32"/>
          <w:szCs w:val="32"/>
        </w:rPr>
        <w:t>550515万元，上解上级支出1639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万元，地方政府一般债务还本支出69530万元，安排预算稳定调节基金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14387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年终实际滚存结余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88216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万元，总支出739042万元，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实现了财政预算收支平衡。</w:t>
      </w:r>
    </w:p>
    <w:p>
      <w:pPr>
        <w:ind w:firstLine="63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二、财政收支完成情况</w:t>
      </w:r>
    </w:p>
    <w:p>
      <w:pPr>
        <w:ind w:firstLine="630"/>
        <w:rPr>
          <w:rFonts w:hint="eastAsia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年，地方财政总收入</w:t>
      </w:r>
      <w:r>
        <w:rPr>
          <w:rFonts w:hint="eastAsia" w:ascii="仿宋" w:hAnsi="仿宋" w:eastAsia="仿宋" w:cs="仿宋"/>
          <w:sz w:val="32"/>
          <w:szCs w:val="32"/>
        </w:rPr>
        <w:t>181755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万元，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比上年同期完成收入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180714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万元，增收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1041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楷体_GB2312" w:eastAsia="楷体_GB2312"/>
          <w:b/>
          <w:bCs/>
          <w:sz w:val="32"/>
          <w:szCs w:val="32"/>
        </w:rPr>
        <w:t>按收入征管部门区分。</w:t>
      </w:r>
      <w:r>
        <w:rPr>
          <w:rFonts w:hint="eastAsia" w:ascii="仿宋" w:hAnsi="仿宋" w:eastAsia="仿宋" w:cs="仿宋"/>
          <w:sz w:val="32"/>
          <w:szCs w:val="32"/>
        </w:rPr>
        <w:t>税务部门完成收入146607万元，（其中：增值税56860万元，企业所得税14350万元，个人所得税4006万元，消费税23万元，非税收入35958万元），占调整预算177100万元的82.78%，比上年完成收入161181万元，减收14574万元，下降9.04%；财政部门完成地方一般预算收入35148万元，占年初预算21700万元的161.97%，比上年完成收入19533万元，增收15615万元，增长79.94%，此外，完成上划中央“两税”收入28453万元，比上年完成33483万元，减收5030万元, 下降15.02%;完成上划企业及个人所得税11013万元,比上年完成11994万元，减收981万元，下降8.18%。税收比重为60.88%，非税比重为39.12%，非税比重比去年35.11%有所上升，上升了4.01个百分点。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2、按收入构成区分。</w:t>
      </w:r>
      <w:r>
        <w:rPr>
          <w:rFonts w:hint="eastAsia" w:ascii="仿宋" w:hAnsi="仿宋" w:eastAsia="仿宋" w:cs="仿宋"/>
          <w:sz w:val="32"/>
          <w:szCs w:val="32"/>
        </w:rPr>
        <w:t>完成增值税收入56860万元，比上年完成66914万元，减收10054万元，下降15.03%；完成企业及个人所得税收入18356万元，比上年完成19990万元，减收1634万元，下降8.17%；完成消费税收23万元，比上年完成26万元，减收3万元，下降11.54%；完成资源税收7686万元，比上年完成6620万元，增收1066万元，增长16.1%；完成城市维护建设税收入4185万元，比上年完成4388万元，减收203万元，下降4.63%；完成房产税收4742万元，比上年完成1599万元，增收3143万元，增长196.56%；完成印花税收938万元，比上年完成848万元，增收90万元，增长10.61%；完成城镇土地使用税2289万元，比上年完成2008万元，增收281万元，增长13.99%；完成土地增值税收4977万元，比上年完成4227万元，增收750万元，增长17.74%；完成车船税收入1413万元；完成耕地占用税收入2654万元；契税收入6390万元，比上年完成7313万元，减收923万元，下降12.62%；完成环境保护税134万元，比上年完成133万元，增收1万元，增长0.75%；完成非税其他收入4584万元，行政事业性收费收入6422万元，国有资源（资产）有偿使用收入48186万元，专项收入5127万元，罚没收入6787万元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3、财政支出完成情况。</w:t>
      </w:r>
      <w:r>
        <w:rPr>
          <w:rFonts w:hint="eastAsia" w:ascii="仿宋" w:hAnsi="仿宋" w:eastAsia="仿宋" w:cs="仿宋"/>
          <w:sz w:val="32"/>
          <w:szCs w:val="32"/>
        </w:rPr>
        <w:t>2022年当年共实现一般预算支出550515元，为调整预算支出530007万元的103.87%，比上年支出500213万元，增支50302万元，增长10.06%。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主要是重点建设支出等因素影响；减少了对卫生健康、节能环保、农林水等支出的投入，预算一体化上线收采用收付实现制列支。</w:t>
      </w:r>
      <w:r>
        <w:rPr>
          <w:rFonts w:hint="eastAsia" w:ascii="仿宋" w:hAnsi="仿宋" w:eastAsia="仿宋" w:cs="仿宋"/>
          <w:sz w:val="32"/>
          <w:szCs w:val="32"/>
        </w:rPr>
        <w:t>从支出的构成来看：2022年一般公共服务支出57963万元，比上年支出61707万元，减支3744万元，下降6.07%；国防支出584万元，比上年支出336万元，增支248万元，增长73.51%；公共安全支出15420万元，比上年支出13824万元，增支1596万元，增长11.55%；教育支出94574万元，比上年支出79904万元，增支14670万元，增长18.36%；科学技术支出26624万元，比上年支出11298万元，增加15326万元，增长135.65%；文化体育与传媒支出4550万元，比上年支出3769万元，增支781万元，增长20.72%；社会保障和就业支出83415万元，比上年支出74987万元，增支8428万元，增长11.24%；卫生健康支出63923万元，比上年支出59348万元，增支4575万元，增长7.71%；节能环保支出12132万元，比上年支出11649万元，增支483万元，增长4.15%;城乡社区支出12020万元，比上年支出9502万元，增支2518万元，增长26.5%；农林水支出113503万元，比上年支出113040万元，增支463万元，增长0.41%；交通运输支出19857万元，比上年支出18659万元，增支1198万元，增长6.42%；资源勘探信息等支出1275万元，比上年支出2671万元，比上年减支1396万元，下降52.27%；商业服务业等支出2977万元，比上年支出3046万元，减支69万元，下降2.27%；金融支出167万元，比去年支出129万元，增支38万元，增长29.46%；自然资源海洋气象支出6530万元，比上年支出3106万元，增支3424万元，增长110.24%；住房保障支出11477万元，比上年支出12764万元，减支1287万元，下降10.08%；粮油物资支出4936万元，比上年支出2426万元，增支2510万元，增长103.46%；灾害防治及应急管理支出6222万元，比上年支出6692万元，减支470万元，下降7.02%；其他支出262万元，比上年支出108万元，增支154万元，增长142.59%；债务付息支出12105万元，比上年支出11249万元，增支856万元，增长7.61%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政府性基金预算支出142760万元，其中: 国家电影事业发展专项资金相关支出3万元，社会保障和就业相关支出6457万元，国有土地使用权出让相关支出38952万元，城市基础设施配套费安排的支出514万元，污水处理费相关支出90万元，其他政府性基金及对应专项债务收入安排的支出85836万元，彩票公益金相关支出919万元，地方政府专项债务付息支出7453万元。上年基金结余10492万元，上级补助收入9161万元，债务转贷收入74500万元，上解上级支出64万元，调出资金70000万元，收支相抵后，基金结余12509万元。</w:t>
      </w:r>
    </w:p>
    <w:p>
      <w:pPr>
        <w:ind w:firstLine="63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三、二0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年财政收支的基本特点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1、强化财税征管，财政收入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略有上涨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在市委、市政府的正确领导下，各级财政部门狠抓收入征管，确保了全年财政收入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预期调整</w:t>
      </w:r>
      <w:r>
        <w:rPr>
          <w:rFonts w:hint="eastAsia" w:ascii="仿宋" w:hAnsi="仿宋" w:eastAsia="仿宋" w:cs="仿宋"/>
          <w:sz w:val="32"/>
          <w:szCs w:val="32"/>
        </w:rPr>
        <w:t>目标任务的圆满完成，财政收入增幅较大。一是抓控管。成立税收协控联管领导小组，着力构建和完善“政府主导、财税主管、部门配合、司法保障、社会参与”的税收协控联管机制，将地税、国税、财政三个征管系统的收入征缴纳入协控联管工作范畴，完善监控网络，加大监管力度，强化管理责任。二是严征缴。多管齐下，切实加强了财税征管力度，推行“宏观税赋分析”，实施“金税工程”，开展纳税评估，安装税控装置，着力防范和打击偷税、漏税行为，整肃了税收秩序，严格执行非税收入征管条例，加强和完善了非税网络建设，坚持“以人为本，协调发展”的科学发展观，充分发挥职能作用，优化支出结构，确保了社会各项事业的全面发展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2、财政支出稳定增长，支出结构进一步优化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政支出保持了稳定的增长势头，支出结构进一步优化，确保了社会各项事业的全面发展。一是认真落实强农惠农政策。二是大力发展医疗卫生事业，建立和完善公共卫生经费保障机制，大力整合卫生资源，加快城乡公共卫生体系建设步伐，切实解决农民就医难问题。三是逐步完善社会保障体系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3、财政改革稳步推进，监管机制日趋完善。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一是全面推进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预算管理一体化</w:t>
      </w:r>
      <w:r>
        <w:rPr>
          <w:rFonts w:hint="eastAsia" w:ascii="仿宋" w:hAnsi="仿宋" w:eastAsia="仿宋" w:cs="仿宋"/>
          <w:sz w:val="32"/>
          <w:szCs w:val="32"/>
        </w:rPr>
        <w:t>改革工作，将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一体化</w:t>
      </w:r>
      <w:r>
        <w:rPr>
          <w:rFonts w:hint="eastAsia" w:ascii="仿宋" w:hAnsi="仿宋" w:eastAsia="仿宋" w:cs="仿宋"/>
          <w:sz w:val="32"/>
          <w:szCs w:val="32"/>
        </w:rPr>
        <w:t>的范围覆盖到了全市所有市直预算单位。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二是继续深化“乡财市管乡用”改革。根据沅江实际，建立健全“乡财市管乡用”改革各项配套管理制度，切实加强乡镇财政预算编制和预算执行情况的监管。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三是深入开展政府集中采购改革。充分发挥政府采购政策功能，政府采购范围进一步扩大，财政资金使用效益显著提高。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四是切实履行财政监管职能，坚持监督与管理并重，确保财政资金的安全、高效运行。</w:t>
      </w:r>
    </w:p>
    <w:p>
      <w:pPr>
        <w:ind w:firstLine="63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四、财政工作中存在的问题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一是收入结构有待进一步优化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年，我市完成本级财政收入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137099万</w:t>
      </w:r>
      <w:r>
        <w:rPr>
          <w:rFonts w:hint="eastAsia" w:ascii="仿宋" w:hAnsi="仿宋" w:eastAsia="仿宋" w:cs="仿宋"/>
          <w:sz w:val="32"/>
          <w:szCs w:val="32"/>
        </w:rPr>
        <w:t>元，比上年完成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122177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14922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12.21</w:t>
      </w:r>
      <w:r>
        <w:rPr>
          <w:rFonts w:hint="eastAsia" w:ascii="仿宋" w:hAnsi="仿宋" w:eastAsia="仿宋" w:cs="仿宋"/>
          <w:sz w:val="32"/>
          <w:szCs w:val="32"/>
        </w:rPr>
        <w:t>%，税收占财政收入的比重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48.14%，比上年稍有上升，但仍需努力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二是支出压力较大。随着我市经济和社会事业加快发展，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市全年新增“三保”刚性支出和政府性债务利息支出以及交通、教育、疫情防控、乡村振兴等重点项目重点领域等刚性支出</w:t>
      </w:r>
      <w:r>
        <w:rPr>
          <w:rFonts w:hint="eastAsia" w:ascii="仿宋" w:hAnsi="仿宋" w:eastAsia="仿宋" w:cs="仿宋"/>
          <w:sz w:val="32"/>
          <w:szCs w:val="32"/>
        </w:rPr>
        <w:t>增加，给我市财政造成了很大的支出压力，收支矛盾较为突出。</w:t>
      </w:r>
    </w:p>
    <w:p>
      <w:pPr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三是财政改革的力度要进一步加大，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特别是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省厅统一</w:t>
      </w:r>
      <w:r>
        <w:rPr>
          <w:rFonts w:hint="eastAsia" w:ascii="仿宋" w:hAnsi="仿宋" w:eastAsia="仿宋" w:cs="仿宋"/>
          <w:sz w:val="32"/>
          <w:szCs w:val="32"/>
        </w:rPr>
        <w:t>国库集中支付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电子化集中上线后，仍有许多需要学习和改进的地方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3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sectPr>
      <w:headerReference r:id="rId3" w:type="default"/>
      <w:footerReference r:id="rId4" w:type="default"/>
      <w:pgSz w:w="20863" w:h="14740" w:orient="landscape"/>
      <w:pgMar w:top="1803" w:right="1440" w:bottom="1803" w:left="1440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dhOWY5MTFlYzc3MjU1YWExNzk4ZTdlOGNlOGViNzkifQ=="/>
  </w:docVars>
  <w:rsids>
    <w:rsidRoot w:val="00711FFF"/>
    <w:rsid w:val="000B2BAB"/>
    <w:rsid w:val="000E1277"/>
    <w:rsid w:val="00210E39"/>
    <w:rsid w:val="00266709"/>
    <w:rsid w:val="00270D68"/>
    <w:rsid w:val="004E2DC6"/>
    <w:rsid w:val="005935F9"/>
    <w:rsid w:val="005A1EA5"/>
    <w:rsid w:val="006D2CDF"/>
    <w:rsid w:val="00711FFF"/>
    <w:rsid w:val="00796D41"/>
    <w:rsid w:val="008C0269"/>
    <w:rsid w:val="008D32C0"/>
    <w:rsid w:val="00A525E6"/>
    <w:rsid w:val="00A96B04"/>
    <w:rsid w:val="00C05651"/>
    <w:rsid w:val="00C12A24"/>
    <w:rsid w:val="00C27217"/>
    <w:rsid w:val="00CF379D"/>
    <w:rsid w:val="00CF74FA"/>
    <w:rsid w:val="00D52BE4"/>
    <w:rsid w:val="00DA6DCD"/>
    <w:rsid w:val="00E2752B"/>
    <w:rsid w:val="00F44257"/>
    <w:rsid w:val="04067CD3"/>
    <w:rsid w:val="05C807C9"/>
    <w:rsid w:val="07746427"/>
    <w:rsid w:val="080441C2"/>
    <w:rsid w:val="0C7E0879"/>
    <w:rsid w:val="0EBA76E9"/>
    <w:rsid w:val="111C188F"/>
    <w:rsid w:val="11F5637B"/>
    <w:rsid w:val="13FD740D"/>
    <w:rsid w:val="156E68C1"/>
    <w:rsid w:val="193A68C8"/>
    <w:rsid w:val="1A352368"/>
    <w:rsid w:val="1AC32947"/>
    <w:rsid w:val="1B1F5B70"/>
    <w:rsid w:val="1E786C85"/>
    <w:rsid w:val="1F6108FB"/>
    <w:rsid w:val="213E42D2"/>
    <w:rsid w:val="22040184"/>
    <w:rsid w:val="23D53DE9"/>
    <w:rsid w:val="24933135"/>
    <w:rsid w:val="24D537B8"/>
    <w:rsid w:val="24FD2D39"/>
    <w:rsid w:val="269456EF"/>
    <w:rsid w:val="28FA1E6A"/>
    <w:rsid w:val="2B091B55"/>
    <w:rsid w:val="2BB369DB"/>
    <w:rsid w:val="3397572E"/>
    <w:rsid w:val="37FB709F"/>
    <w:rsid w:val="3BAF127E"/>
    <w:rsid w:val="3E37414A"/>
    <w:rsid w:val="41792626"/>
    <w:rsid w:val="485A1255"/>
    <w:rsid w:val="491C2048"/>
    <w:rsid w:val="4AE838EB"/>
    <w:rsid w:val="4DE909B1"/>
    <w:rsid w:val="4E6F2527"/>
    <w:rsid w:val="4F2C641E"/>
    <w:rsid w:val="4F671670"/>
    <w:rsid w:val="50616E83"/>
    <w:rsid w:val="506A5D0B"/>
    <w:rsid w:val="50951C17"/>
    <w:rsid w:val="50E77189"/>
    <w:rsid w:val="5105175F"/>
    <w:rsid w:val="52246F0F"/>
    <w:rsid w:val="52B0453B"/>
    <w:rsid w:val="53231A63"/>
    <w:rsid w:val="565829D0"/>
    <w:rsid w:val="565A2510"/>
    <w:rsid w:val="57B5771E"/>
    <w:rsid w:val="57E411DB"/>
    <w:rsid w:val="5C47619F"/>
    <w:rsid w:val="5C89757F"/>
    <w:rsid w:val="5DE472FE"/>
    <w:rsid w:val="606D2F4C"/>
    <w:rsid w:val="63896B77"/>
    <w:rsid w:val="64A230D4"/>
    <w:rsid w:val="64B17184"/>
    <w:rsid w:val="66BF7027"/>
    <w:rsid w:val="68682819"/>
    <w:rsid w:val="6A670435"/>
    <w:rsid w:val="6EF708B3"/>
    <w:rsid w:val="720F0AE2"/>
    <w:rsid w:val="73380A67"/>
    <w:rsid w:val="735D5FD3"/>
    <w:rsid w:val="77023D2A"/>
    <w:rsid w:val="78295B36"/>
    <w:rsid w:val="7C75015C"/>
    <w:rsid w:val="7E932097"/>
    <w:rsid w:val="7FA3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4281</Words>
  <Characters>5341</Characters>
  <Lines>38</Lines>
  <Paragraphs>10</Paragraphs>
  <TotalTime>2</TotalTime>
  <ScaleCrop>false</ScaleCrop>
  <LinksUpToDate>false</LinksUpToDate>
  <CharactersWithSpaces>5345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2017-11-15T03:27:00Z</dcterms:created>
  <dc:creator>dreamsummit</dc:creator>
  <cp:lastModifiedBy>zmin</cp:lastModifiedBy>
  <cp:lastPrinted>2019-05-14T03:51:00Z</cp:lastPrinted>
  <dcterms:modified xsi:type="dcterms:W3CDTF">2023-07-27T03:09:05Z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5BEC56609E044F28B24F24E6E3961E28</vt:lpwstr>
  </property>
</Properties>
</file>