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autoSpaceDE w:val="0"/>
        <w:autoSpaceDN w:val="0"/>
        <w:adjustRightInd w:val="0"/>
        <w:ind w:right="72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商品住房一房一价明细表</w:t>
      </w:r>
    </w:p>
    <w:p>
      <w:pPr>
        <w:autoSpaceDE w:val="0"/>
        <w:autoSpaceDN w:val="0"/>
        <w:adjustRightInd w:val="0"/>
        <w:ind w:right="128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申报日期 ：2023 年 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 1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ind w:right="128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开发企业：沅江碧城房地产开发有限公司</w:t>
      </w:r>
    </w:p>
    <w:p>
      <w:pPr>
        <w:autoSpaceDE w:val="0"/>
        <w:autoSpaceDN w:val="0"/>
        <w:adjustRightInd w:val="0"/>
        <w:ind w:right="128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楼盘名称：沅江碧桂园24#</w:t>
      </w:r>
    </w:p>
    <w:tbl>
      <w:tblPr>
        <w:tblStyle w:val="6"/>
        <w:tblW w:w="921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35"/>
        <w:gridCol w:w="979"/>
        <w:gridCol w:w="982"/>
        <w:gridCol w:w="957"/>
        <w:gridCol w:w="957"/>
        <w:gridCol w:w="945"/>
        <w:gridCol w:w="1150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栋号</w:t>
            </w:r>
          </w:p>
        </w:tc>
        <w:tc>
          <w:tcPr>
            <w:tcW w:w="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单元房号</w:t>
            </w:r>
          </w:p>
        </w:tc>
        <w:tc>
          <w:tcPr>
            <w:tcW w:w="98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户型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建筑面积㎡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套内建筑面积㎡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公摊面积㎡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销售单价 （元/㎡）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房屋总价（元）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144.35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114.94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29.41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4339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626335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144.35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4239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4431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639305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4531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514133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4561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517537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4331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624920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4523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652578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4623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4653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527976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4423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638195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4523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652578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4623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524572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4653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527976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4423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638195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4615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665852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4716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535125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4745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538415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4515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651469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4642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669748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4743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538188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4773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541592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4543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655509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4670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673788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4771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544656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4571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659550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4698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677827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4798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544429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4827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547720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4598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663445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4726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681867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4826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547606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4856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4627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667630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4753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685763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4854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550783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4883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554074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4654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4781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689803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4881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553847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4912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557365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4681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675421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4809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693843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4909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4939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4709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679462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4836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697738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4936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4967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563605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4736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683357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4790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4890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554868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4920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558272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4690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676720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4892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705818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4992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566442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5021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569733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4792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691438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4920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709858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5019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569506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5050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573024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4820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695478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4947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713753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5047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572683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5077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576087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4847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699374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4650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4782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542614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4802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544883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4585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661570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5002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721689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5103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579037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5132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582328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4902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707310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5035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726450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5130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582101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5160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4930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5007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5103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579037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5132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582328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4908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708175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4974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717649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5074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575747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5105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579264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4874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703269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4952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714475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5047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572683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5077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576087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4847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699374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4892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705818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4992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566442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5021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569733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4792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691438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4896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706395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4992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566442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5021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569733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4797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692159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4869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702499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4965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563379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4994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566669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4769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4836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697738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4936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4967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563605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4736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683357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4809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693843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2802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4909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4939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4709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679462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4781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689803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4881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553847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4912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557365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4681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675421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4753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685763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4854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550783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4883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554074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4654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4536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654454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4688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531947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113.47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23.12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4718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535351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4房2厅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29.4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4488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647574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71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均价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hint="eastAsia"/>
        </w:rPr>
      </w:pPr>
    </w:p>
    <w:p>
      <w:pPr>
        <w:pStyle w:val="2"/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沅江市发展和改革局监制              价格举报电话：12315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商品住房销售价格分幢标示牌</w:t>
      </w:r>
    </w:p>
    <w:p>
      <w:pPr>
        <w:spacing w:line="500" w:lineRule="exac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开发企业名称：沅江碧城房地产开发有限公司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6"/>
        <w:tblW w:w="921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579"/>
        <w:gridCol w:w="2461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楼盘名称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沅江碧桂园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#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新源路东侧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预售许可证号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房源数量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土地性质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商住用地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土地使用起止年限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住宅：2088年6月30日</w:t>
            </w:r>
          </w:p>
          <w:p>
            <w:pPr>
              <w:pStyle w:val="2"/>
            </w:pPr>
            <w:r>
              <w:rPr>
                <w:rFonts w:hint="eastAsia"/>
                <w:sz w:val="20"/>
                <w:szCs w:val="22"/>
              </w:rPr>
              <w:t>商业：</w:t>
            </w:r>
            <w:r>
              <w:rPr>
                <w:rFonts w:hint="eastAsia"/>
                <w:w w:val="90"/>
                <w:sz w:val="20"/>
                <w:szCs w:val="22"/>
              </w:rPr>
              <w:t>2058年6月30日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容 积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3.0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车位配比率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100：0.8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绿 化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30%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框架剪力墙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层    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2.9米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装修状况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精装修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6"/>
        <w:tblW w:w="917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2295"/>
        <w:gridCol w:w="2294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市税务局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60元/平方米</w:t>
            </w:r>
          </w:p>
        </w:tc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市建设局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...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三、优惠折扣及享受优惠折扣的条件：根据公司政策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五、小区物业服务费用（可根据具体服务项目调整）前期物业服务收费标准</w:t>
      </w:r>
      <w:r>
        <w:rPr>
          <w:rFonts w:hint="eastAsia" w:ascii="仿宋" w:hAnsi="仿宋" w:eastAsia="仿宋" w:cs="仿宋"/>
          <w:sz w:val="28"/>
          <w:szCs w:val="28"/>
          <w:u w:val="single"/>
        </w:rPr>
        <w:t>1.</w:t>
      </w:r>
      <w:r>
        <w:rPr>
          <w:rFonts w:ascii="仿宋" w:hAnsi="仿宋" w:eastAsia="仿宋" w:cs="仿宋"/>
          <w:sz w:val="28"/>
          <w:szCs w:val="28"/>
          <w:u w:val="single"/>
        </w:rPr>
        <w:t>73</w:t>
      </w:r>
      <w:r>
        <w:rPr>
          <w:rFonts w:hint="eastAsia" w:ascii="仿宋" w:hAnsi="仿宋" w:eastAsia="仿宋" w:cs="仿宋"/>
          <w:sz w:val="28"/>
          <w:szCs w:val="28"/>
        </w:rPr>
        <w:t>（元/平方米）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沅江市发展和改革局监制              价格举报电话：12315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8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沅江碧桂园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8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8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4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324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adjustRightInd w:val="0"/>
        <w:snapToGrid w:val="0"/>
        <w:spacing w:line="560" w:lineRule="exact"/>
        <w:ind w:firstLine="324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  年  月  日</w:t>
      </w:r>
    </w:p>
    <w:p>
      <w:pPr>
        <w:spacing w:before="159" w:beforeLines="50" w:after="159" w:afterLines="50"/>
        <w:ind w:firstLine="2916" w:firstLineChars="900"/>
        <w:rPr>
          <w:rFonts w:eastAsia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经办人：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姚孟</w:t>
      </w:r>
      <w:r>
        <w:rPr>
          <w:rFonts w:hint="eastAsia" w:ascii="仿宋" w:hAnsi="仿宋" w:eastAsia="仿宋" w:cs="仿宋"/>
          <w:sz w:val="32"/>
          <w:szCs w:val="32"/>
        </w:rPr>
        <w:t xml:space="preserve">     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18890510113</w:t>
      </w:r>
      <w:bookmarkStart w:id="0" w:name="_GoBack"/>
      <w:bookmarkEnd w:id="0"/>
    </w:p>
    <w:sectPr>
      <w:footerReference r:id="rId3" w:type="default"/>
      <w:pgSz w:w="11905" w:h="16838"/>
      <w:pgMar w:top="1417" w:right="1418" w:bottom="1417" w:left="1701" w:header="851" w:footer="992" w:gutter="0"/>
      <w:cols w:space="0" w:num="1"/>
      <w:docGrid w:type="linesAndChars" w:linePitch="318" w:charSpace="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DJhMDE0MjIwODM4NDBjNjdmZjg2ZTMxMjVlZGMifQ=="/>
  </w:docVars>
  <w:rsids>
    <w:rsidRoot w:val="2AFF39C5"/>
    <w:rsid w:val="001A3403"/>
    <w:rsid w:val="00285409"/>
    <w:rsid w:val="005D7CAC"/>
    <w:rsid w:val="008A571D"/>
    <w:rsid w:val="00902C43"/>
    <w:rsid w:val="00995FC9"/>
    <w:rsid w:val="00AF7D4D"/>
    <w:rsid w:val="00B27E83"/>
    <w:rsid w:val="00B61180"/>
    <w:rsid w:val="00B93A60"/>
    <w:rsid w:val="00B95C12"/>
    <w:rsid w:val="00C8043F"/>
    <w:rsid w:val="00F92495"/>
    <w:rsid w:val="018477B4"/>
    <w:rsid w:val="058829D4"/>
    <w:rsid w:val="062529B4"/>
    <w:rsid w:val="06767BD1"/>
    <w:rsid w:val="0870631E"/>
    <w:rsid w:val="08A557B6"/>
    <w:rsid w:val="093A056E"/>
    <w:rsid w:val="0A9530C3"/>
    <w:rsid w:val="0B8126D0"/>
    <w:rsid w:val="0C2124F3"/>
    <w:rsid w:val="0E754577"/>
    <w:rsid w:val="10641C94"/>
    <w:rsid w:val="10CE3607"/>
    <w:rsid w:val="118B30AD"/>
    <w:rsid w:val="12162C5C"/>
    <w:rsid w:val="12907D34"/>
    <w:rsid w:val="1465625E"/>
    <w:rsid w:val="14A74459"/>
    <w:rsid w:val="15BF12E9"/>
    <w:rsid w:val="16191E09"/>
    <w:rsid w:val="16DE23D1"/>
    <w:rsid w:val="178243A5"/>
    <w:rsid w:val="184A3743"/>
    <w:rsid w:val="18C314F7"/>
    <w:rsid w:val="19D503F2"/>
    <w:rsid w:val="1E15158E"/>
    <w:rsid w:val="1E5B47AC"/>
    <w:rsid w:val="20015EDA"/>
    <w:rsid w:val="208D48DB"/>
    <w:rsid w:val="214831B3"/>
    <w:rsid w:val="23DA788E"/>
    <w:rsid w:val="24904F42"/>
    <w:rsid w:val="24A62A50"/>
    <w:rsid w:val="27323BE9"/>
    <w:rsid w:val="27535B98"/>
    <w:rsid w:val="2AEB79D0"/>
    <w:rsid w:val="2AFF39C5"/>
    <w:rsid w:val="2D1E4A62"/>
    <w:rsid w:val="2F04491C"/>
    <w:rsid w:val="30795129"/>
    <w:rsid w:val="30987C5F"/>
    <w:rsid w:val="31474C39"/>
    <w:rsid w:val="345A6BBE"/>
    <w:rsid w:val="363F6AFF"/>
    <w:rsid w:val="36B53887"/>
    <w:rsid w:val="3C0C4878"/>
    <w:rsid w:val="3C425E4E"/>
    <w:rsid w:val="3E594D3E"/>
    <w:rsid w:val="3EB57842"/>
    <w:rsid w:val="3EBA238A"/>
    <w:rsid w:val="3EF02BDC"/>
    <w:rsid w:val="3FB21551"/>
    <w:rsid w:val="46823434"/>
    <w:rsid w:val="48F517F2"/>
    <w:rsid w:val="4A0F3989"/>
    <w:rsid w:val="4B495E03"/>
    <w:rsid w:val="4E111E48"/>
    <w:rsid w:val="4E603E87"/>
    <w:rsid w:val="4EBF2144"/>
    <w:rsid w:val="4F62045D"/>
    <w:rsid w:val="4FC30ECF"/>
    <w:rsid w:val="50973CBE"/>
    <w:rsid w:val="522A5F7B"/>
    <w:rsid w:val="544C76CC"/>
    <w:rsid w:val="55EE18CB"/>
    <w:rsid w:val="57B83996"/>
    <w:rsid w:val="58C05A18"/>
    <w:rsid w:val="5C0A5102"/>
    <w:rsid w:val="5CDB18CD"/>
    <w:rsid w:val="5DC77E7F"/>
    <w:rsid w:val="5FFF1F10"/>
    <w:rsid w:val="61D035B7"/>
    <w:rsid w:val="621D01DF"/>
    <w:rsid w:val="632C2F93"/>
    <w:rsid w:val="647F7522"/>
    <w:rsid w:val="648246ED"/>
    <w:rsid w:val="66012D05"/>
    <w:rsid w:val="683564EA"/>
    <w:rsid w:val="688A5DEC"/>
    <w:rsid w:val="68AF2044"/>
    <w:rsid w:val="69296CD1"/>
    <w:rsid w:val="69CE542E"/>
    <w:rsid w:val="71731DC9"/>
    <w:rsid w:val="729006CA"/>
    <w:rsid w:val="731E05C5"/>
    <w:rsid w:val="75E47A3A"/>
    <w:rsid w:val="771E5E8F"/>
    <w:rsid w:val="771F0518"/>
    <w:rsid w:val="78C04E96"/>
    <w:rsid w:val="7945744F"/>
    <w:rsid w:val="796878C9"/>
    <w:rsid w:val="7B0B5B3C"/>
    <w:rsid w:val="7B5073F0"/>
    <w:rsid w:val="7BCC27D3"/>
    <w:rsid w:val="7D246195"/>
    <w:rsid w:val="7DEB2679"/>
    <w:rsid w:val="7E5F0AFD"/>
    <w:rsid w:val="7E833F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3367</Words>
  <Characters>6926</Characters>
  <Lines>61</Lines>
  <Paragraphs>17</Paragraphs>
  <TotalTime>26</TotalTime>
  <ScaleCrop>false</ScaleCrop>
  <LinksUpToDate>false</LinksUpToDate>
  <CharactersWithSpaces>7051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2020-04-07T01:02:00Z</dcterms:created>
  <dc:creator>Administrator</dc:creator>
  <cp:lastModifiedBy>生活信条</cp:lastModifiedBy>
  <cp:lastPrinted>2023-07-12T02:25:00Z</cp:lastPrinted>
  <dcterms:modified xsi:type="dcterms:W3CDTF">2023-07-12T13:50:52Z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F6F5B78FC030430BBA35C5A8777446C0_13</vt:lpwstr>
  </property>
</Properties>
</file>