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sz w:val="84"/>
          <w:szCs w:val="84"/>
        </w:rPr>
      </w:pPr>
      <w:r>
        <w:rPr>
          <w:rFonts w:hint="eastAsia"/>
          <w:sz w:val="72"/>
          <w:szCs w:val="72"/>
          <w:lang w:eastAsia="zh-CN"/>
        </w:rPr>
        <w:t>沅江市就业服务中心</w:t>
      </w:r>
      <w:r>
        <w:rPr>
          <w:rFonts w:hint="eastAsia"/>
          <w:sz w:val="72"/>
          <w:szCs w:val="72"/>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沅江市就业服务中心</w:t>
      </w:r>
      <w:r>
        <w:rPr>
          <w:rFonts w:hint="eastAsia"/>
          <w:b/>
          <w:sz w:val="28"/>
          <w:szCs w:val="28"/>
        </w:rPr>
        <w:t>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84"/>
          <w:szCs w:val="84"/>
          <w:lang w:eastAsia="zh-CN"/>
        </w:rPr>
        <w:t>沅江市就业服务中心</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520" w:lineRule="exact"/>
        <w:ind w:firstLine="709"/>
        <w:jc w:val="left"/>
        <w:rPr>
          <w:rFonts w:hint="eastAsia" w:ascii="仿宋" w:hAnsi="仿宋" w:eastAsia="仿宋"/>
          <w:sz w:val="32"/>
        </w:rPr>
      </w:pPr>
      <w:r>
        <w:rPr>
          <w:rFonts w:hint="eastAsia" w:asciiTheme="minorEastAsia" w:hAnsiTheme="minorEastAsia"/>
          <w:bCs/>
          <w:kern w:val="0"/>
          <w:sz w:val="32"/>
          <w:szCs w:val="32"/>
        </w:rPr>
        <w:t>负责全市劳动就业创业服务和失业保险工作。协助政府履行有关就业方面的社会公共服务职能。具体负责失业保险待遇给付，保障失业人员基本生活；创业培训、就业扶贫；全市基层平台建设、创业担保贷款、农村劳动力转移就业、职业指导、政策扶持等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沅江市就业服务中心</w:t>
      </w:r>
      <w:r>
        <w:rPr>
          <w:rFonts w:hint="eastAsia" w:asciiTheme="minorEastAsia" w:hAnsiTheme="minorEastAsia"/>
          <w:bCs/>
          <w:kern w:val="0"/>
          <w:sz w:val="32"/>
          <w:szCs w:val="32"/>
        </w:rPr>
        <w:t>内设机构：办公室、财务股、培训股、城镇社区就业服务股、农村就业服务股、失业保险服务股、失业保险征缴股、稽核7个股室</w:t>
      </w:r>
      <w:r>
        <w:rPr>
          <w:rFonts w:hint="eastAsia" w:asciiTheme="minorEastAsia" w:hAnsiTheme="minorEastAsia"/>
          <w:bCs/>
          <w:kern w:val="0"/>
          <w:sz w:val="32"/>
          <w:szCs w:val="32"/>
          <w:lang w:eastAsia="zh-CN"/>
        </w:rPr>
        <w:t>。</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（二）决算单位构成。</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eastAsia="zh-CN"/>
        </w:rPr>
        <w:t>从决算单位构成来看，沅江市就业服务中心单位部门决算为二级预算单位，没有下属单位。</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i w:val="0"/>
                <w:iCs w:val="0"/>
                <w:color w:val="000000"/>
                <w:kern w:val="0"/>
                <w:sz w:val="20"/>
                <w:szCs w:val="20"/>
                <w:u w:val="none"/>
                <w:lang w:val="en-US" w:eastAsia="zh-CN" w:bidi="ar"/>
              </w:rPr>
              <w:t>沅江市就业服务中心</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370.70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八</w:t>
            </w:r>
            <w:r>
              <w:rPr>
                <w:rFonts w:hint="eastAsia" w:ascii="宋体" w:hAnsi="宋体" w:eastAsia="宋体" w:cs="宋体"/>
                <w:kern w:val="0"/>
                <w:sz w:val="24"/>
                <w:szCs w:val="24"/>
              </w:rPr>
              <w:t>、社会保障和就业支出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470.50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119.20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489.90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491.76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11.87</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501.77</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501.77</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tbl>
      <w:tblPr>
        <w:tblW w:w="15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616"/>
        <w:gridCol w:w="222"/>
        <w:gridCol w:w="222"/>
        <w:gridCol w:w="4176"/>
        <w:gridCol w:w="1402"/>
        <w:gridCol w:w="1444"/>
        <w:gridCol w:w="834"/>
        <w:gridCol w:w="834"/>
        <w:gridCol w:w="834"/>
        <w:gridCol w:w="834"/>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5030" w:type="dxa"/>
            <w:gridSpan w:val="11"/>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bdr w:val="none" w:color="auto" w:sz="0" w:space="0"/>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w:t>
            </w:r>
            <w:r>
              <w:rPr>
                <w:rFonts w:hint="eastAsia" w:ascii="宋体" w:hAnsi="宋体" w:eastAsia="宋体" w:cs="宋体"/>
                <w:i w:val="0"/>
                <w:iCs w:val="0"/>
                <w:color w:val="000000"/>
                <w:kern w:val="0"/>
                <w:sz w:val="20"/>
                <w:szCs w:val="20"/>
                <w:u w:val="none"/>
                <w:lang w:val="en-US" w:eastAsia="zh-CN" w:bidi="ar"/>
              </w:rPr>
              <w:t>沅江市就业服务中心</w:t>
            </w: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530"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本年收入合计</w:t>
            </w:r>
          </w:p>
        </w:tc>
        <w:tc>
          <w:tcPr>
            <w:tcW w:w="1725"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财政拨款收入</w:t>
            </w:r>
          </w:p>
        </w:tc>
        <w:tc>
          <w:tcPr>
            <w:tcW w:w="1410"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上级补助收入</w:t>
            </w:r>
          </w:p>
        </w:tc>
        <w:tc>
          <w:tcPr>
            <w:tcW w:w="1410"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事业收入</w:t>
            </w:r>
          </w:p>
        </w:tc>
        <w:tc>
          <w:tcPr>
            <w:tcW w:w="1410"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经营收入</w:t>
            </w:r>
          </w:p>
        </w:tc>
        <w:tc>
          <w:tcPr>
            <w:tcW w:w="1410"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附属单位上缴收入</w:t>
            </w:r>
          </w:p>
        </w:tc>
        <w:tc>
          <w:tcPr>
            <w:tcW w:w="1425"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53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53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725"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41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41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41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1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425"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489.90</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370.70</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468.63</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349.43</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人力资源和社会保障管理事务</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218.04</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194.69</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2080101</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行政运行</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163.69</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163.69</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2080109</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社会保险经办机构</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2080199</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其他人力资源和社会保障管理事务支出</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23.35</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20807</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就业补助</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226.33</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2080799</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其他就业补助支出</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226.33</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24.26</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24.26</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死亡抚恤</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24.26</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24.26</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扶贫</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其他扶贫支出</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W w:w="12420" w:type="dxa"/>
        <w:tblInd w:w="16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300"/>
        <w:gridCol w:w="222"/>
        <w:gridCol w:w="222"/>
        <w:gridCol w:w="4388"/>
        <w:gridCol w:w="925"/>
        <w:gridCol w:w="1146"/>
        <w:gridCol w:w="1144"/>
        <w:gridCol w:w="793"/>
        <w:gridCol w:w="708"/>
        <w:gridCol w:w="1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2420" w:type="dxa"/>
            <w:gridSpan w:val="10"/>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bdr w:val="none" w:color="auto" w:sz="0" w:space="0"/>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1300" w:type="dxa"/>
            <w:tcBorders>
              <w:top w:val="nil"/>
              <w:left w:val="nil"/>
              <w:bottom w:val="nil"/>
              <w:right w:val="nil"/>
            </w:tcBorders>
            <w:shd w:val="clear"/>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4388"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925"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146"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144"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793"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708"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572" w:type="dxa"/>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6132" w:type="dxa"/>
            <w:gridSpan w:val="4"/>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部门：沅江市就业服务中心</w:t>
            </w:r>
          </w:p>
        </w:tc>
        <w:tc>
          <w:tcPr>
            <w:tcW w:w="925"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146"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144"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793"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708"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572" w:type="dxa"/>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6132"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925"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本年支出合计</w:t>
            </w:r>
          </w:p>
        </w:tc>
        <w:tc>
          <w:tcPr>
            <w:tcW w:w="1146"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144"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793"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上缴上级支出</w:t>
            </w:r>
          </w:p>
        </w:tc>
        <w:tc>
          <w:tcPr>
            <w:tcW w:w="708"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经营支出</w:t>
            </w:r>
          </w:p>
        </w:tc>
        <w:tc>
          <w:tcPr>
            <w:tcW w:w="1572"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4" w:type="dxa"/>
            <w:gridSpan w:val="3"/>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功能分类科目编码</w:t>
            </w:r>
          </w:p>
        </w:tc>
        <w:tc>
          <w:tcPr>
            <w:tcW w:w="4388" w:type="dxa"/>
            <w:vMerge w:val="restart"/>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925"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46"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93"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08"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4" w:type="dxa"/>
            <w:gridSpan w:val="3"/>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4388" w:type="dxa"/>
            <w:vMerge w:val="continue"/>
            <w:tcBorders>
              <w:top w:val="nil"/>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46"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93"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08"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4" w:type="dxa"/>
            <w:gridSpan w:val="3"/>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4388" w:type="dxa"/>
            <w:vMerge w:val="continue"/>
            <w:tcBorders>
              <w:top w:val="nil"/>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46"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93"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08"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6132" w:type="dxa"/>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925"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46"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44"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93"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08"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572"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8" w:hRule="atLeast"/>
        </w:trPr>
        <w:tc>
          <w:tcPr>
            <w:tcW w:w="6132" w:type="dxa"/>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491.76</w:t>
            </w:r>
          </w:p>
        </w:tc>
        <w:tc>
          <w:tcPr>
            <w:tcW w:w="114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285.68</w:t>
            </w:r>
          </w:p>
        </w:tc>
        <w:tc>
          <w:tcPr>
            <w:tcW w:w="1144"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206.08</w:t>
            </w: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438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470.50</w:t>
            </w:r>
          </w:p>
        </w:tc>
        <w:tc>
          <w:tcPr>
            <w:tcW w:w="114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264.42</w:t>
            </w:r>
          </w:p>
        </w:tc>
        <w:tc>
          <w:tcPr>
            <w:tcW w:w="1144"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206.08</w:t>
            </w: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w:t>
            </w:r>
          </w:p>
        </w:tc>
        <w:tc>
          <w:tcPr>
            <w:tcW w:w="438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人力资源和社会保障管理事务</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229.91</w:t>
            </w:r>
          </w:p>
        </w:tc>
        <w:tc>
          <w:tcPr>
            <w:tcW w:w="114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194.69</w:t>
            </w:r>
          </w:p>
        </w:tc>
        <w:tc>
          <w:tcPr>
            <w:tcW w:w="1144"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35.22</w:t>
            </w: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2080101</w:t>
            </w:r>
          </w:p>
        </w:tc>
        <w:tc>
          <w:tcPr>
            <w:tcW w:w="438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行政运行</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163.69</w:t>
            </w:r>
          </w:p>
        </w:tc>
        <w:tc>
          <w:tcPr>
            <w:tcW w:w="114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163.69</w:t>
            </w:r>
          </w:p>
        </w:tc>
        <w:tc>
          <w:tcPr>
            <w:tcW w:w="1144"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2080102</w:t>
            </w:r>
          </w:p>
        </w:tc>
        <w:tc>
          <w:tcPr>
            <w:tcW w:w="438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一般行政管理事务</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11.87</w:t>
            </w:r>
          </w:p>
        </w:tc>
        <w:tc>
          <w:tcPr>
            <w:tcW w:w="1146"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11.87</w:t>
            </w: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2080109</w:t>
            </w:r>
          </w:p>
        </w:tc>
        <w:tc>
          <w:tcPr>
            <w:tcW w:w="438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社会保险经办机构</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w:t>
            </w:r>
          </w:p>
        </w:tc>
        <w:tc>
          <w:tcPr>
            <w:tcW w:w="114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w:t>
            </w:r>
          </w:p>
        </w:tc>
        <w:tc>
          <w:tcPr>
            <w:tcW w:w="1144"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2080199</w:t>
            </w:r>
          </w:p>
        </w:tc>
        <w:tc>
          <w:tcPr>
            <w:tcW w:w="438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其他人力资源和社会保障管理事务支出</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23.35</w:t>
            </w:r>
          </w:p>
        </w:tc>
        <w:tc>
          <w:tcPr>
            <w:tcW w:w="1146"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23.35</w:t>
            </w: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20807</w:t>
            </w:r>
          </w:p>
        </w:tc>
        <w:tc>
          <w:tcPr>
            <w:tcW w:w="438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就业补助</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216.33</w:t>
            </w:r>
          </w:p>
        </w:tc>
        <w:tc>
          <w:tcPr>
            <w:tcW w:w="114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45.46</w:t>
            </w:r>
          </w:p>
        </w:tc>
        <w:tc>
          <w:tcPr>
            <w:tcW w:w="1144"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170.86</w:t>
            </w: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2080799</w:t>
            </w:r>
          </w:p>
        </w:tc>
        <w:tc>
          <w:tcPr>
            <w:tcW w:w="438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其他就业补助支出</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216.33</w:t>
            </w:r>
          </w:p>
        </w:tc>
        <w:tc>
          <w:tcPr>
            <w:tcW w:w="114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45.46</w:t>
            </w:r>
          </w:p>
        </w:tc>
        <w:tc>
          <w:tcPr>
            <w:tcW w:w="1144"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170.86</w:t>
            </w: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438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24.26</w:t>
            </w:r>
          </w:p>
        </w:tc>
        <w:tc>
          <w:tcPr>
            <w:tcW w:w="114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24.26</w:t>
            </w:r>
          </w:p>
        </w:tc>
        <w:tc>
          <w:tcPr>
            <w:tcW w:w="1144"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438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死亡抚恤</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24.26</w:t>
            </w:r>
          </w:p>
        </w:tc>
        <w:tc>
          <w:tcPr>
            <w:tcW w:w="114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24.26</w:t>
            </w:r>
          </w:p>
        </w:tc>
        <w:tc>
          <w:tcPr>
            <w:tcW w:w="1144"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438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114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1144"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438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扶贫</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114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1144"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438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其他扶贫支出</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114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1144"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438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114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1144"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438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114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1144"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4"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438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925"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114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1144"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1572"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20" w:type="dxa"/>
            <w:gridSpan w:val="10"/>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注：本表反映部门本年度各项支出情况。</w:t>
            </w:r>
          </w:p>
        </w:tc>
      </w:tr>
    </w:tbl>
    <w:p>
      <w:pPr>
        <w:widowControl/>
        <w:jc w:val="lef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 xml:space="preserve"> </w:t>
      </w: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tbl>
      <w:tblPr>
        <w:tblStyle w:val="5"/>
        <w:tblW w:w="15521" w:type="dxa"/>
        <w:tblInd w:w="93" w:type="dxa"/>
        <w:tblLayout w:type="fixed"/>
        <w:tblCellMar>
          <w:top w:w="0" w:type="dxa"/>
          <w:left w:w="108" w:type="dxa"/>
          <w:bottom w:w="0" w:type="dxa"/>
          <w:right w:w="108" w:type="dxa"/>
        </w:tblCellMar>
      </w:tblPr>
      <w:tblGrid>
        <w:gridCol w:w="3113"/>
        <w:gridCol w:w="914"/>
        <w:gridCol w:w="1252"/>
        <w:gridCol w:w="3250"/>
        <w:gridCol w:w="631"/>
        <w:gridCol w:w="435"/>
        <w:gridCol w:w="1571"/>
        <w:gridCol w:w="1392"/>
        <w:gridCol w:w="1392"/>
        <w:gridCol w:w="1571"/>
      </w:tblGrid>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11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1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8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rPr>
          <w:trHeight w:val="300" w:hRule="atLeast"/>
        </w:trPr>
        <w:tc>
          <w:tcPr>
            <w:tcW w:w="3113"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iCs w:val="0"/>
                <w:color w:val="000000"/>
                <w:kern w:val="0"/>
                <w:sz w:val="20"/>
                <w:szCs w:val="20"/>
                <w:u w:val="none"/>
                <w:lang w:val="en-US" w:eastAsia="zh-CN" w:bidi="ar"/>
              </w:rPr>
              <w:t>沅江市就业服务中心</w:t>
            </w:r>
          </w:p>
        </w:tc>
        <w:tc>
          <w:tcPr>
            <w:tcW w:w="91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8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27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42"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370.70</w:t>
            </w: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00"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0"/>
                <w:szCs w:val="20"/>
              </w:rPr>
              <w:t>三、国有资本经营预算财政拨款</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2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349.43</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349.43</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2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10.70</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10.70</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2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10.57</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10.57</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370.70</w:t>
            </w:r>
          </w:p>
        </w:tc>
        <w:tc>
          <w:tcPr>
            <w:tcW w:w="32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370.70</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370.70</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32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91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2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370.70</w:t>
            </w:r>
          </w:p>
        </w:tc>
        <w:tc>
          <w:tcPr>
            <w:tcW w:w="32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370.70</w:t>
            </w:r>
          </w:p>
        </w:tc>
        <w:tc>
          <w:tcPr>
            <w:tcW w:w="1392"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370.70</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bookmarkEnd w:id="1"/>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tbl>
      <w:tblPr>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16"/>
        <w:gridCol w:w="222"/>
        <w:gridCol w:w="222"/>
        <w:gridCol w:w="3076"/>
        <w:gridCol w:w="1556"/>
        <w:gridCol w:w="1528"/>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bdr w:val="none" w:color="auto" w:sz="0" w:space="0"/>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3076"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556"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528"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2250" w:type="dxa"/>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部门：沅江市就业服务中心</w:t>
            </w:r>
          </w:p>
        </w:tc>
        <w:tc>
          <w:tcPr>
            <w:tcW w:w="222"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3076"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556"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528"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2250" w:type="dxa"/>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6336"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334" w:type="dxa"/>
            <w:gridSpan w:val="3"/>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3260" w:type="dxa"/>
            <w:gridSpan w:val="3"/>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功能分类科目编码</w:t>
            </w:r>
          </w:p>
        </w:tc>
        <w:tc>
          <w:tcPr>
            <w:tcW w:w="3076" w:type="dxa"/>
            <w:vMerge w:val="restart"/>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556" w:type="dxa"/>
            <w:vMerge w:val="restart"/>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528" w:type="dxa"/>
            <w:vMerge w:val="restart"/>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2250" w:type="dxa"/>
            <w:vMerge w:val="restart"/>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 w:hRule="atLeast"/>
        </w:trPr>
        <w:tc>
          <w:tcPr>
            <w:tcW w:w="3260" w:type="dxa"/>
            <w:gridSpan w:val="3"/>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076" w:type="dxa"/>
            <w:vMerge w:val="continue"/>
            <w:tcBorders>
              <w:top w:val="nil"/>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556"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076" w:type="dxa"/>
            <w:vMerge w:val="continue"/>
            <w:tcBorders>
              <w:top w:val="nil"/>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556"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6336" w:type="dxa"/>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55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2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250"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6336" w:type="dxa"/>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55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370.70</w:t>
            </w:r>
          </w:p>
        </w:tc>
        <w:tc>
          <w:tcPr>
            <w:tcW w:w="152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285.68</w:t>
            </w:r>
          </w:p>
        </w:tc>
        <w:tc>
          <w:tcPr>
            <w:tcW w:w="2250"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307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155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349.43</w:t>
            </w:r>
          </w:p>
        </w:tc>
        <w:tc>
          <w:tcPr>
            <w:tcW w:w="152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264.42</w:t>
            </w:r>
          </w:p>
        </w:tc>
        <w:tc>
          <w:tcPr>
            <w:tcW w:w="2250"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w:t>
            </w:r>
          </w:p>
        </w:tc>
        <w:tc>
          <w:tcPr>
            <w:tcW w:w="307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人力资源和社会保障管理事务</w:t>
            </w:r>
          </w:p>
        </w:tc>
        <w:tc>
          <w:tcPr>
            <w:tcW w:w="155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194.69</w:t>
            </w:r>
          </w:p>
        </w:tc>
        <w:tc>
          <w:tcPr>
            <w:tcW w:w="152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194.69</w:t>
            </w:r>
          </w:p>
        </w:tc>
        <w:tc>
          <w:tcPr>
            <w:tcW w:w="2250"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2080101</w:t>
            </w:r>
          </w:p>
        </w:tc>
        <w:tc>
          <w:tcPr>
            <w:tcW w:w="307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行政运行</w:t>
            </w:r>
          </w:p>
        </w:tc>
        <w:tc>
          <w:tcPr>
            <w:tcW w:w="155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163.69</w:t>
            </w:r>
          </w:p>
        </w:tc>
        <w:tc>
          <w:tcPr>
            <w:tcW w:w="152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163.69</w:t>
            </w:r>
          </w:p>
        </w:tc>
        <w:tc>
          <w:tcPr>
            <w:tcW w:w="2250"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2080109</w:t>
            </w:r>
          </w:p>
        </w:tc>
        <w:tc>
          <w:tcPr>
            <w:tcW w:w="307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社会保险经办机构</w:t>
            </w:r>
          </w:p>
        </w:tc>
        <w:tc>
          <w:tcPr>
            <w:tcW w:w="155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w:t>
            </w:r>
          </w:p>
        </w:tc>
        <w:tc>
          <w:tcPr>
            <w:tcW w:w="152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w:t>
            </w:r>
          </w:p>
        </w:tc>
        <w:tc>
          <w:tcPr>
            <w:tcW w:w="2250"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20807</w:t>
            </w:r>
          </w:p>
        </w:tc>
        <w:tc>
          <w:tcPr>
            <w:tcW w:w="307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就业补助</w:t>
            </w:r>
          </w:p>
        </w:tc>
        <w:tc>
          <w:tcPr>
            <w:tcW w:w="155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152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45.46</w:t>
            </w:r>
          </w:p>
        </w:tc>
        <w:tc>
          <w:tcPr>
            <w:tcW w:w="2250"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2080799</w:t>
            </w:r>
          </w:p>
        </w:tc>
        <w:tc>
          <w:tcPr>
            <w:tcW w:w="307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其他就业补助支出</w:t>
            </w:r>
          </w:p>
        </w:tc>
        <w:tc>
          <w:tcPr>
            <w:tcW w:w="155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152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45.46</w:t>
            </w:r>
          </w:p>
        </w:tc>
        <w:tc>
          <w:tcPr>
            <w:tcW w:w="2250"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307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155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24.26</w:t>
            </w:r>
          </w:p>
        </w:tc>
        <w:tc>
          <w:tcPr>
            <w:tcW w:w="152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24.26</w:t>
            </w:r>
          </w:p>
        </w:tc>
        <w:tc>
          <w:tcPr>
            <w:tcW w:w="2250"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307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死亡抚恤</w:t>
            </w:r>
          </w:p>
        </w:tc>
        <w:tc>
          <w:tcPr>
            <w:tcW w:w="155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24.26</w:t>
            </w:r>
          </w:p>
        </w:tc>
        <w:tc>
          <w:tcPr>
            <w:tcW w:w="152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24.26</w:t>
            </w:r>
          </w:p>
        </w:tc>
        <w:tc>
          <w:tcPr>
            <w:tcW w:w="2250"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307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155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152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2250"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307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扶贫</w:t>
            </w:r>
          </w:p>
        </w:tc>
        <w:tc>
          <w:tcPr>
            <w:tcW w:w="155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152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2250"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307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其他扶贫支出</w:t>
            </w:r>
          </w:p>
        </w:tc>
        <w:tc>
          <w:tcPr>
            <w:tcW w:w="155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152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2250"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307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155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152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2250"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307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155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152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2250"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307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1556"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1528" w:type="dxa"/>
            <w:tcBorders>
              <w:top w:val="nil"/>
              <w:left w:val="nil"/>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2250" w:type="dxa"/>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70" w:type="dxa"/>
            <w:gridSpan w:val="7"/>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注：本表反映部门本年度一般公共预算财政拨款支出情况。</w:t>
            </w:r>
          </w:p>
        </w:tc>
      </w:tr>
    </w:tbl>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fixed"/>
        <w:tblCellMar>
          <w:top w:w="0" w:type="dxa"/>
          <w:left w:w="108" w:type="dxa"/>
          <w:bottom w:w="0" w:type="dxa"/>
          <w:right w:w="108" w:type="dxa"/>
        </w:tblCellMar>
      </w:tblPr>
      <w:tblGrid>
        <w:gridCol w:w="1183"/>
        <w:gridCol w:w="3400"/>
        <w:gridCol w:w="997"/>
        <w:gridCol w:w="859"/>
        <w:gridCol w:w="2378"/>
        <w:gridCol w:w="835"/>
        <w:gridCol w:w="1001"/>
        <w:gridCol w:w="4022"/>
        <w:gridCol w:w="939"/>
      </w:tblGrid>
      <w:tr>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pPr>
              <w:widowControl/>
              <w:jc w:val="center"/>
              <w:rPr>
                <w:rFonts w:hint="eastAsia" w:ascii="Times New Roman" w:hAnsi="Times New Roman" w:eastAsia="仿宋_GB2312" w:cs="Times New Roman"/>
                <w:color w:val="000000"/>
                <w:kern w:val="0"/>
                <w:szCs w:val="21"/>
              </w:rPr>
            </w:pPr>
            <w:bookmarkStart w:id="2" w:name="RANGE!A1:I34"/>
            <w:r>
              <w:rPr>
                <w:rFonts w:hint="eastAsia" w:ascii="华文中宋" w:hAnsi="华文中宋" w:eastAsia="华文中宋" w:cs="宋体"/>
                <w:color w:val="000000"/>
                <w:kern w:val="0"/>
                <w:szCs w:val="32"/>
              </w:rPr>
              <w:t>一般公共预算财政拨款基本支出决算明细表</w:t>
            </w:r>
            <w:bookmarkEnd w:id="2"/>
            <w:r>
              <w:rPr>
                <w:rFonts w:hint="eastAsia" w:ascii="Times New Roman" w:hAnsi="Times New Roman" w:eastAsia="仿宋_GB2312" w:cs="Times New Roman"/>
                <w:color w:val="000000"/>
                <w:kern w:val="0"/>
                <w:szCs w:val="21"/>
              </w:rPr>
              <w:t xml:space="preserve"> </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宋体" w:hAnsi="宋体" w:eastAsia="宋体" w:cs="宋体"/>
                <w:i w:val="0"/>
                <w:iCs w:val="0"/>
                <w:color w:val="000000"/>
                <w:kern w:val="0"/>
                <w:sz w:val="20"/>
                <w:szCs w:val="20"/>
                <w:u w:val="none"/>
                <w:lang w:val="en-US" w:eastAsia="zh-CN" w:bidi="ar"/>
              </w:rPr>
              <w:t>沅江市就业服务中心</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199.66</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52.19</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75.21</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5.75</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41.66</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3.36</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0.05</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3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5.53</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21.53</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0.46</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3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25.44</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8.82</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3.41</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13.01</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0.34</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32.78</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0.16</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2.22</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27.06</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18.66</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8.09</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0.94</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6.61</w:t>
            </w:r>
          </w:p>
        </w:tc>
        <w:tc>
          <w:tcPr>
            <w:tcW w:w="10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5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232.44</w:t>
            </w:r>
          </w:p>
        </w:tc>
        <w:tc>
          <w:tcPr>
            <w:tcW w:w="9095"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3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53.24</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hint="eastAsia"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center"/>
        <w:rPr>
          <w:rFonts w:hint="eastAsia" w:ascii="Times New Roman" w:hAnsi="Times New Roman" w:eastAsia="方正小标宋_GBK" w:cs="Times New Roman"/>
          <w:color w:val="000000"/>
          <w:kern w:val="0"/>
          <w:sz w:val="36"/>
          <w:szCs w:val="36"/>
        </w:rPr>
      </w:pP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i w:val="0"/>
          <w:iCs w:val="0"/>
          <w:color w:val="000000"/>
          <w:kern w:val="0"/>
          <w:sz w:val="20"/>
          <w:szCs w:val="20"/>
          <w:u w:val="none"/>
          <w:lang w:val="en-US" w:eastAsia="zh-CN" w:bidi="ar"/>
        </w:rPr>
        <w:t>沅江市就业服务中心</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0.28</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0.28</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0.28</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0.28</w:t>
            </w:r>
          </w:p>
        </w:tc>
      </w:tr>
    </w:tbl>
    <w:p>
      <w:pPr>
        <w:widowControl/>
        <w:jc w:val="left"/>
        <w:rPr>
          <w:rFonts w:hint="eastAsia"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hint="eastAsia" w:ascii="宋体" w:eastAsia="宋体" w:cs="宋体"/>
          <w:kern w:val="0"/>
          <w:sz w:val="24"/>
          <w:szCs w:val="24"/>
        </w:rPr>
      </w:pPr>
    </w:p>
    <w:p>
      <w:pPr>
        <w:widowControl/>
        <w:jc w:val="left"/>
        <w:rPr>
          <w:rFonts w:hint="eastAsia" w:ascii="宋体" w:eastAsia="宋体" w:cs="宋体"/>
          <w:kern w:val="0"/>
          <w:sz w:val="24"/>
          <w:szCs w:val="24"/>
        </w:rPr>
      </w:pPr>
    </w:p>
    <w:p>
      <w:pPr>
        <w:widowControl/>
        <w:jc w:val="left"/>
        <w:rPr>
          <w:rFonts w:hint="eastAsia" w:ascii="宋体" w:eastAsia="宋体" w:cs="宋体"/>
          <w:kern w:val="0"/>
          <w:sz w:val="24"/>
          <w:szCs w:val="24"/>
        </w:rPr>
      </w:pPr>
    </w:p>
    <w:p>
      <w:pPr>
        <w:widowControl/>
        <w:jc w:val="left"/>
        <w:rPr>
          <w:rFonts w:hint="eastAsia" w:ascii="宋体" w:eastAsia="宋体" w:cs="宋体"/>
          <w:kern w:val="0"/>
          <w:sz w:val="24"/>
          <w:szCs w:val="24"/>
        </w:rPr>
      </w:pPr>
    </w:p>
    <w:p>
      <w:pPr>
        <w:widowControl/>
        <w:jc w:val="left"/>
        <w:rPr>
          <w:rFonts w:ascii="宋体" w:eastAsia="宋体" w:cs="宋体"/>
          <w:kern w:val="0"/>
          <w:sz w:val="24"/>
          <w:szCs w:val="24"/>
        </w:rPr>
      </w:pPr>
      <w:r>
        <w:rPr>
          <w:rFonts w:ascii="宋体" w:eastAsia="宋体" w:cs="宋体"/>
          <w:kern w:val="0"/>
          <w:sz w:val="24"/>
          <w:szCs w:val="24"/>
        </w:rPr>
        <w:br w:type="page"/>
      </w:r>
    </w:p>
    <w:tbl>
      <w:tblPr>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537"/>
        <w:gridCol w:w="300"/>
        <w:gridCol w:w="300"/>
        <w:gridCol w:w="1482"/>
        <w:gridCol w:w="1431"/>
        <w:gridCol w:w="1431"/>
        <w:gridCol w:w="1431"/>
        <w:gridCol w:w="1431"/>
        <w:gridCol w:w="1431"/>
        <w:gridCol w:w="2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bdr w:val="none" w:color="auto" w:sz="0" w:space="0"/>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部门：沅江市就业服务中心</w:t>
            </w: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0" w:type="dxa"/>
            <w:vMerge w:val="restart"/>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680" w:type="dxa"/>
            <w:vMerge w:val="restart"/>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680" w:type="dxa"/>
            <w:vMerge w:val="restart"/>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注：本表反映部门本年度政府性基金预算财政拨款收入、支出及结转和结余情况。</w:t>
            </w:r>
          </w:p>
        </w:tc>
      </w:tr>
    </w:tbl>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34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345" w:hRule="atLeast"/>
        </w:trPr>
        <w:tc>
          <w:tcPr>
            <w:tcW w:w="4835" w:type="dxa"/>
            <w:gridSpan w:val="4"/>
            <w:tcBorders>
              <w:top w:val="nil"/>
              <w:left w:val="nil"/>
              <w:bottom w:val="nil"/>
              <w:right w:val="nil"/>
            </w:tcBorders>
            <w:shd w:val="clear" w:color="000000" w:fill="FFFFFF"/>
            <w:vAlign w:val="center"/>
          </w:tcPr>
          <w:p>
            <w:pPr>
              <w:widowControl/>
              <w:jc w:val="left"/>
              <w:rPr>
                <w:rFonts w:hint="eastAsia" w:ascii="宋体" w:hAnsi="宋体" w:eastAsia="宋体" w:cs="宋体"/>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iCs w:val="0"/>
                <w:color w:val="000000"/>
                <w:kern w:val="0"/>
                <w:sz w:val="20"/>
                <w:szCs w:val="20"/>
                <w:u w:val="none"/>
                <w:lang w:val="en-US" w:eastAsia="zh-CN" w:bidi="ar"/>
              </w:rPr>
              <w:t>沅江市就业服务中心</w:t>
            </w:r>
          </w:p>
        </w:tc>
        <w:tc>
          <w:tcPr>
            <w:tcW w:w="1225" w:type="dxa"/>
            <w:tcBorders>
              <w:top w:val="nil"/>
              <w:left w:val="nil"/>
              <w:bottom w:val="nil"/>
              <w:right w:val="nil"/>
            </w:tcBorders>
            <w:shd w:val="clear" w:color="000000" w:fill="FFFFFF"/>
            <w:vAlign w:val="center"/>
          </w:tcPr>
          <w:p>
            <w:pPr>
              <w:widowControl/>
              <w:jc w:val="left"/>
              <w:rPr>
                <w:rFonts w:hint="eastAsia" w:ascii="宋体" w:hAnsi="宋体" w:eastAsia="宋体" w:cs="宋体"/>
                <w:kern w:val="0"/>
                <w:sz w:val="20"/>
                <w:szCs w:val="20"/>
              </w:rPr>
            </w:pPr>
          </w:p>
        </w:tc>
        <w:tc>
          <w:tcPr>
            <w:tcW w:w="2620" w:type="dxa"/>
            <w:gridSpan w:val="2"/>
            <w:tcBorders>
              <w:top w:val="nil"/>
              <w:left w:val="nil"/>
              <w:bottom w:val="nil"/>
              <w:right w:val="nil"/>
            </w:tcBorders>
            <w:shd w:val="clear" w:color="000000" w:fill="FFFFFF"/>
            <w:vAlign w:val="center"/>
          </w:tcPr>
          <w:p>
            <w:pPr>
              <w:widowControl/>
              <w:jc w:val="left"/>
              <w:rPr>
                <w:rFonts w:hint="eastAsia" w:ascii="宋体" w:hAnsi="宋体" w:eastAsia="宋体" w:cs="宋体"/>
                <w:kern w:val="0"/>
                <w:sz w:val="20"/>
                <w:szCs w:val="20"/>
              </w:rPr>
            </w:pPr>
          </w:p>
        </w:tc>
        <w:tc>
          <w:tcPr>
            <w:tcW w:w="5510" w:type="dxa"/>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2021年度收、支总计501.77万元。与上年相比，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131.08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35.36</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费用增加。</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2021年度收入合计489.9万元，其中：财政拨款收入370.7万元，占</w:t>
      </w:r>
      <w:r>
        <w:rPr>
          <w:rFonts w:hint="eastAsia" w:asciiTheme="minorEastAsia" w:hAnsiTheme="minorEastAsia" w:eastAsiaTheme="minorEastAsia"/>
          <w:sz w:val="32"/>
          <w:szCs w:val="32"/>
          <w:lang w:val="en-US" w:eastAsia="zh-CN"/>
        </w:rPr>
        <w:t>75.66</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%；其他收入119.2万元，占</w:t>
      </w:r>
      <w:r>
        <w:rPr>
          <w:rFonts w:hint="eastAsia" w:asciiTheme="minorEastAsia" w:hAnsiTheme="minorEastAsia" w:eastAsiaTheme="minorEastAsia"/>
          <w:sz w:val="32"/>
          <w:szCs w:val="32"/>
          <w:lang w:val="en-US" w:eastAsia="zh-CN"/>
        </w:rPr>
        <w:t>24.33</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2021年度支出合计491.76万元，其中：基本支出285.68万元，占</w:t>
      </w:r>
      <w:r>
        <w:rPr>
          <w:rFonts w:hint="eastAsia" w:asciiTheme="minorEastAsia" w:hAnsiTheme="minorEastAsia" w:eastAsiaTheme="minorEastAsia"/>
          <w:sz w:val="32"/>
          <w:szCs w:val="32"/>
          <w:lang w:val="en-US" w:eastAsia="zh-CN"/>
        </w:rPr>
        <w:t>58.09</w:t>
      </w:r>
      <w:r>
        <w:rPr>
          <w:rFonts w:hint="eastAsia" w:asciiTheme="minorEastAsia" w:hAnsiTheme="minorEastAsia" w:eastAsiaTheme="minorEastAsia"/>
          <w:sz w:val="32"/>
          <w:szCs w:val="32"/>
        </w:rPr>
        <w:t>%；项目支出206.08万元，占</w:t>
      </w:r>
      <w:r>
        <w:rPr>
          <w:rFonts w:hint="eastAsia" w:asciiTheme="minorEastAsia" w:hAnsiTheme="minorEastAsia" w:eastAsiaTheme="minorEastAsia"/>
          <w:sz w:val="32"/>
          <w:szCs w:val="32"/>
          <w:lang w:val="en-US" w:eastAsia="zh-CN"/>
        </w:rPr>
        <w:t>41.91</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2021年度财政拨款收、支总计370.7万元，与上年相比，</w:t>
      </w:r>
      <w:r>
        <w:rPr>
          <w:rFonts w:hint="eastAsia" w:asciiTheme="minorEastAsia" w:hAnsiTheme="minorEastAsia" w:eastAsiaTheme="minorEastAsia"/>
          <w:sz w:val="32"/>
          <w:szCs w:val="32"/>
          <w:lang w:eastAsia="zh-CN"/>
        </w:rPr>
        <w:t>增中</w:t>
      </w:r>
      <w:r>
        <w:rPr>
          <w:rFonts w:hint="eastAsia" w:asciiTheme="minorEastAsia" w:hAnsiTheme="minorEastAsia" w:eastAsiaTheme="minorEastAsia"/>
          <w:sz w:val="32"/>
          <w:szCs w:val="32"/>
          <w:lang w:val="en-US" w:eastAsia="zh-CN"/>
        </w:rPr>
        <w:t>181.1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48.85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费用增加。</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2021年度财政拨款支出370.7万元，占本年支出合计的</w:t>
      </w:r>
      <w:r>
        <w:rPr>
          <w:rFonts w:hint="eastAsia" w:asciiTheme="minorEastAsia" w:hAnsiTheme="minorEastAsia" w:eastAsiaTheme="minorEastAsia"/>
          <w:sz w:val="32"/>
          <w:szCs w:val="32"/>
          <w:lang w:val="en-US" w:eastAsia="zh-CN"/>
        </w:rPr>
        <w:t>75.38</w:t>
      </w:r>
      <w:r>
        <w:rPr>
          <w:rFonts w:hint="eastAsia" w:asciiTheme="minorEastAsia" w:hAnsiTheme="minorEastAsia" w:eastAsiaTheme="minorEastAsia"/>
          <w:sz w:val="32"/>
          <w:szCs w:val="32"/>
        </w:rPr>
        <w:t>%，与上年相比，财政拨款支出</w:t>
      </w:r>
      <w:r>
        <w:rPr>
          <w:rFonts w:hint="eastAsia" w:asciiTheme="minorEastAsia" w:hAnsiTheme="minorEastAsia" w:eastAsiaTheme="minorEastAsia"/>
          <w:sz w:val="32"/>
          <w:szCs w:val="32"/>
          <w:lang w:eastAsia="zh-CN"/>
        </w:rPr>
        <w:t>增中</w:t>
      </w:r>
      <w:r>
        <w:rPr>
          <w:rFonts w:hint="eastAsia" w:asciiTheme="minorEastAsia" w:hAnsiTheme="minorEastAsia" w:eastAsiaTheme="minorEastAsia"/>
          <w:sz w:val="32"/>
          <w:szCs w:val="32"/>
          <w:lang w:val="en-US" w:eastAsia="zh-CN"/>
        </w:rPr>
        <w:t>181.1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48.85</w:t>
      </w:r>
      <w:r>
        <w:rPr>
          <w:rFonts w:hint="eastAsia" w:asciiTheme="minorEastAsia" w:hAnsiTheme="minorEastAsia" w:eastAsiaTheme="minorEastAsia"/>
          <w:sz w:val="32"/>
          <w:szCs w:val="32"/>
        </w:rPr>
        <w:t>%，主要是因为</w:t>
      </w:r>
      <w:bookmarkStart w:id="3" w:name="_GoBack"/>
      <w:bookmarkEnd w:id="3"/>
      <w:r>
        <w:rPr>
          <w:rFonts w:hint="eastAsia" w:asciiTheme="minorEastAsia" w:hAnsiTheme="minorEastAsia" w:eastAsiaTheme="minorEastAsia"/>
          <w:sz w:val="32"/>
          <w:szCs w:val="32"/>
          <w:lang w:eastAsia="zh-CN"/>
        </w:rPr>
        <w:t>费用增加。</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370.7</w:t>
      </w:r>
      <w:r>
        <w:rPr>
          <w:rFonts w:hint="eastAsia" w:asciiTheme="minorEastAsia" w:hAnsiTheme="minorEastAsia" w:eastAsiaTheme="minorEastAsia"/>
          <w:sz w:val="32"/>
          <w:szCs w:val="32"/>
        </w:rPr>
        <w:t>万元，主要用于以下方面：社会保障和就业（类）支出349.43万元，占</w:t>
      </w:r>
      <w:r>
        <w:rPr>
          <w:rFonts w:hint="eastAsia" w:asciiTheme="minorEastAsia" w:hAnsiTheme="minorEastAsia" w:eastAsiaTheme="minorEastAsia"/>
          <w:sz w:val="32"/>
          <w:szCs w:val="32"/>
          <w:lang w:val="en-US" w:eastAsia="zh-CN"/>
        </w:rPr>
        <w:t>94.26</w:t>
      </w:r>
      <w:r>
        <w:rPr>
          <w:rFonts w:hint="eastAsia" w:asciiTheme="minorEastAsia" w:hAnsiTheme="minorEastAsia" w:eastAsiaTheme="minorEastAsia"/>
          <w:sz w:val="32"/>
          <w:szCs w:val="32"/>
        </w:rPr>
        <w:t>%；农林水（类）支出10.7万元，占</w:t>
      </w:r>
      <w:r>
        <w:rPr>
          <w:rFonts w:hint="eastAsia" w:asciiTheme="minorEastAsia" w:hAnsiTheme="minorEastAsia" w:eastAsiaTheme="minorEastAsia"/>
          <w:sz w:val="32"/>
          <w:szCs w:val="32"/>
          <w:lang w:val="en-US" w:eastAsia="zh-CN"/>
        </w:rPr>
        <w:t>2.88</w:t>
      </w:r>
      <w:r>
        <w:rPr>
          <w:rFonts w:hint="eastAsia" w:asciiTheme="minorEastAsia" w:hAnsiTheme="minorEastAsia" w:eastAsiaTheme="minorEastAsia"/>
          <w:sz w:val="32"/>
          <w:szCs w:val="32"/>
        </w:rPr>
        <w:t>%;住房保障（类）支出10.57</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2.85</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189.60</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370.7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195.52</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1、一般公共服务支出（类）社会保障和就业支出（款</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 xml:space="preserve"> 行政运行（项）。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176.92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349.43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197.51</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行政运行经费增加。</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2、一般公共服务支出（类）一般公共服务支出（款）其他扶贫支出（项）。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其他</w:t>
      </w:r>
      <w:r>
        <w:rPr>
          <w:rFonts w:hint="eastAsia" w:asciiTheme="minorEastAsia" w:hAnsiTheme="minorEastAsia" w:eastAsiaTheme="minorEastAsia"/>
          <w:sz w:val="32"/>
          <w:szCs w:val="32"/>
          <w:lang w:eastAsia="zh-CN"/>
        </w:rPr>
        <w:t>扶贫</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eastAsia="zh-CN"/>
        </w:rPr>
        <w:t>经费增加。</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、一般公共服务支出（类）住房保障支出（款）住房公积金（项）。</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12.68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10.57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83.36</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eastAsia="zh-CN"/>
        </w:rPr>
        <w:t>费用减少。</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2021年度财政拨款基本支出285.68万元，其中：人员经费232.44万元，占基本支出的</w:t>
      </w:r>
      <w:r>
        <w:rPr>
          <w:rFonts w:hint="eastAsia" w:asciiTheme="minorEastAsia" w:hAnsiTheme="minorEastAsia" w:eastAsiaTheme="minorEastAsia"/>
          <w:sz w:val="32"/>
          <w:szCs w:val="32"/>
          <w:lang w:val="en-US" w:eastAsia="zh-CN"/>
        </w:rPr>
        <w:t>81.36</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、医疗养老保险费用等</w:t>
      </w:r>
      <w:r>
        <w:rPr>
          <w:rFonts w:hint="eastAsia" w:asciiTheme="minorEastAsia" w:hAnsiTheme="minorEastAsia" w:eastAsiaTheme="minorEastAsia"/>
          <w:sz w:val="32"/>
          <w:szCs w:val="32"/>
        </w:rPr>
        <w:t>；公用经费53.24万元，占基本支出的</w:t>
      </w:r>
      <w:r>
        <w:rPr>
          <w:rFonts w:hint="eastAsia" w:asciiTheme="minorEastAsia" w:hAnsiTheme="minorEastAsia" w:eastAsiaTheme="minorEastAsia"/>
          <w:sz w:val="32"/>
          <w:szCs w:val="32"/>
          <w:lang w:val="en-US" w:eastAsia="zh-CN"/>
        </w:rPr>
        <w:t>18.63</w:t>
      </w:r>
      <w:r>
        <w:rPr>
          <w:rFonts w:hint="eastAsia" w:asciiTheme="minorEastAsia" w:hAnsiTheme="minorEastAsia" w:eastAsiaTheme="minorEastAsia"/>
          <w:sz w:val="32"/>
          <w:szCs w:val="32"/>
        </w:rPr>
        <w:t>%，主要包括办公费、印刷费、咨询费、手续费。</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0.28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0.28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节约开支，</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节约开支</w:t>
      </w:r>
      <w:r>
        <w:rPr>
          <w:rFonts w:hint="eastAsia" w:asciiTheme="minorEastAsia" w:hAnsiTheme="minorEastAsia" w:eastAsiaTheme="minorEastAsia"/>
          <w:sz w:val="32"/>
          <w:szCs w:val="32"/>
        </w:rPr>
        <w:t>。</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0.28</w:t>
      </w:r>
      <w:r>
        <w:rPr>
          <w:rFonts w:hint="eastAsia" w:asciiTheme="minorEastAsia" w:hAnsiTheme="minorEastAsia" w:eastAsiaTheme="minorEastAsia"/>
          <w:sz w:val="32"/>
          <w:szCs w:val="32"/>
        </w:rPr>
        <w:t>万元，支出决算为0.28万元，完成预算的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同</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持平。</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同</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同</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2021年度“三公”经费财政拨款支出决算中，公务接待费支出决算0.28万元，占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人次,开支</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2、公务接待费支出决算为0.28万元，全年共接待来访团组</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人次，主要是创业培训指导的支出。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沅江市民政局</w:t>
      </w:r>
      <w:r>
        <w:rPr>
          <w:rFonts w:hint="eastAsia" w:asciiTheme="minorEastAsia" w:hAnsiTheme="minorEastAsia"/>
          <w:sz w:val="32"/>
          <w:szCs w:val="32"/>
        </w:rPr>
        <w:t>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9"/>
        <w:rPr>
          <w:rFonts w:hAnsi="黑体"/>
          <w:b/>
          <w:sz w:val="32"/>
          <w:szCs w:val="32"/>
        </w:rPr>
      </w:pPr>
      <w:r>
        <w:rPr>
          <w:rFonts w:hint="eastAsia" w:hAnsi="黑体"/>
          <w:b/>
          <w:sz w:val="32"/>
          <w:szCs w:val="32"/>
        </w:rPr>
        <w:t>八、政府性基金预算收入支出决算情况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rPr>
          <w:rFonts w:hAnsi="黑体"/>
          <w:b/>
          <w:sz w:val="32"/>
          <w:szCs w:val="32"/>
        </w:rPr>
      </w:pPr>
      <w:r>
        <w:rPr>
          <w:rFonts w:hint="eastAsia" w:hAnsi="黑体"/>
          <w:b/>
          <w:sz w:val="32"/>
          <w:szCs w:val="32"/>
        </w:rPr>
        <w:t>九、机关运行经费支出说明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本部门2021年度机关运行经费支出53.24万元，比</w:t>
      </w:r>
      <w:r>
        <w:rPr>
          <w:rFonts w:hint="eastAsia" w:asciiTheme="minorEastAsia" w:hAnsiTheme="minorEastAsia" w:eastAsiaTheme="minorEastAsia"/>
          <w:sz w:val="32"/>
          <w:szCs w:val="32"/>
          <w:lang w:eastAsia="zh-CN"/>
        </w:rPr>
        <w:t>上年决</w:t>
      </w:r>
      <w:r>
        <w:rPr>
          <w:rFonts w:hint="eastAsia" w:asciiTheme="minorEastAsia" w:hAnsiTheme="minorEastAsia" w:eastAsiaTheme="minorEastAsia"/>
          <w:sz w:val="32"/>
          <w:szCs w:val="32"/>
        </w:rPr>
        <w:t>算数减少</w:t>
      </w:r>
      <w:r>
        <w:rPr>
          <w:rFonts w:hint="eastAsia" w:asciiTheme="minorEastAsia" w:hAnsiTheme="minorEastAsia" w:eastAsiaTheme="minorEastAsia"/>
          <w:sz w:val="32"/>
          <w:szCs w:val="32"/>
          <w:lang w:val="en-US" w:eastAsia="zh-CN"/>
        </w:rPr>
        <w:t>XX</w:t>
      </w:r>
      <w:r>
        <w:rPr>
          <w:rFonts w:hint="eastAsia" w:asciiTheme="minorEastAsia" w:hAnsiTheme="minorEastAsia" w:eastAsiaTheme="minorEastAsia"/>
          <w:sz w:val="32"/>
          <w:szCs w:val="32"/>
        </w:rPr>
        <w:t xml:space="preserve"> 万元，降低</w:t>
      </w:r>
      <w:r>
        <w:rPr>
          <w:rFonts w:hint="eastAsia" w:asciiTheme="minorEastAsia" w:hAnsiTheme="minorEastAsia" w:eastAsiaTheme="minorEastAsia"/>
          <w:sz w:val="32"/>
          <w:szCs w:val="32"/>
          <w:lang w:val="en-US" w:eastAsia="zh-CN"/>
        </w:rPr>
        <w:t>10.5</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节约开支。</w:t>
      </w:r>
    </w:p>
    <w:p>
      <w:pPr>
        <w:pStyle w:val="9"/>
        <w:rPr>
          <w:rFonts w:hAnsi="黑体"/>
          <w:b/>
          <w:sz w:val="32"/>
          <w:szCs w:val="32"/>
        </w:rPr>
      </w:pPr>
      <w:r>
        <w:rPr>
          <w:rFonts w:hint="eastAsia" w:hAnsi="黑体"/>
          <w:b/>
          <w:sz w:val="32"/>
          <w:szCs w:val="32"/>
        </w:rPr>
        <w:t>十、一般性支出情况说明</w:t>
      </w:r>
    </w:p>
    <w:p>
      <w:pPr>
        <w:pStyle w:val="9"/>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2021年本部门开支会议费0.16万元，</w:t>
      </w:r>
      <w:r>
        <w:rPr>
          <w:rFonts w:hint="eastAsia" w:asciiTheme="minorEastAsia" w:hAnsiTheme="minorEastAsia" w:eastAsiaTheme="minorEastAsia"/>
          <w:sz w:val="32"/>
          <w:szCs w:val="32"/>
          <w:lang w:eastAsia="zh-CN"/>
        </w:rPr>
        <w:t>主要</w:t>
      </w:r>
      <w:r>
        <w:rPr>
          <w:rFonts w:hint="eastAsia" w:asciiTheme="minorEastAsia" w:hAnsiTheme="minorEastAsia" w:eastAsiaTheme="minorEastAsia"/>
          <w:sz w:val="32"/>
          <w:szCs w:val="32"/>
        </w:rPr>
        <w:t>用于召开</w:t>
      </w:r>
      <w:r>
        <w:rPr>
          <w:rFonts w:hint="eastAsia" w:asciiTheme="minorEastAsia" w:hAnsiTheme="minorEastAsia" w:eastAsiaTheme="minorEastAsia"/>
          <w:sz w:val="32"/>
          <w:szCs w:val="32"/>
          <w:lang w:eastAsia="zh-CN"/>
        </w:rPr>
        <w:t>劳动力素质提升培训</w:t>
      </w:r>
      <w:r>
        <w:rPr>
          <w:rFonts w:hint="eastAsia" w:asciiTheme="minorEastAsia" w:hAnsiTheme="minorEastAsia" w:eastAsiaTheme="minorEastAsia"/>
          <w:sz w:val="32"/>
          <w:szCs w:val="32"/>
        </w:rPr>
        <w:t>指导</w:t>
      </w:r>
      <w:r>
        <w:rPr>
          <w:rFonts w:hint="eastAsia" w:asciiTheme="minorEastAsia" w:hAnsiTheme="minorEastAsia" w:eastAsiaTheme="minorEastAsia"/>
          <w:sz w:val="32"/>
          <w:szCs w:val="32"/>
          <w:lang w:eastAsia="zh-CN"/>
        </w:rPr>
        <w:t>培训</w:t>
      </w:r>
      <w:r>
        <w:rPr>
          <w:rFonts w:hint="eastAsia" w:asciiTheme="minorEastAsia" w:hAnsiTheme="minorEastAsia" w:eastAsiaTheme="minorEastAsia"/>
          <w:sz w:val="32"/>
          <w:szCs w:val="32"/>
        </w:rPr>
        <w:t>会议，人数325人，内容为</w:t>
      </w:r>
      <w:r>
        <w:rPr>
          <w:rFonts w:hint="eastAsia" w:asciiTheme="minorEastAsia" w:hAnsiTheme="minorEastAsia" w:eastAsiaTheme="minorEastAsia"/>
          <w:sz w:val="32"/>
          <w:szCs w:val="32"/>
          <w:lang w:eastAsia="zh-CN"/>
        </w:rPr>
        <w:t>关于就业和社会保障目标任务的贫困地区劳动力素质提升；</w:t>
      </w:r>
      <w:r>
        <w:rPr>
          <w:rFonts w:hint="eastAsia" w:asciiTheme="minorEastAsia" w:hAnsiTheme="minorEastAsia" w:eastAsiaTheme="minorEastAsia"/>
          <w:sz w:val="32"/>
          <w:szCs w:val="32"/>
        </w:rPr>
        <w:t>开支培训费2.22万元，用于创业培训，人数2255人，内容为创业培训；举办节庆、晚会、论坛、赛事活动，开支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9"/>
        <w:rPr>
          <w:rFonts w:hAnsi="黑体"/>
          <w:b/>
          <w:sz w:val="32"/>
          <w:szCs w:val="32"/>
        </w:rPr>
      </w:pPr>
      <w:r>
        <w:rPr>
          <w:rFonts w:hint="eastAsia" w:hAnsi="黑体"/>
          <w:b/>
          <w:sz w:val="32"/>
          <w:szCs w:val="32"/>
        </w:rPr>
        <w:t>十一、政府采购支出说明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十二、国有资产占用情况说明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w:t>
      </w:r>
      <w:r>
        <w:rPr>
          <w:rFonts w:hint="eastAsia" w:asciiTheme="minorEastAsia" w:hAnsiTheme="minorEastAsia" w:eastAsiaTheme="minorEastAsia"/>
          <w:sz w:val="32"/>
          <w:szCs w:val="32"/>
          <w:lang w:eastAsia="zh-CN"/>
        </w:rPr>
        <w:t>沅江市民政局</w:t>
      </w:r>
      <w:r>
        <w:rPr>
          <w:rFonts w:hint="eastAsia" w:asciiTheme="minorEastAsia" w:hAnsiTheme="minorEastAsia" w:eastAsiaTheme="minorEastAsia"/>
          <w:sz w:val="32"/>
          <w:szCs w:val="32"/>
        </w:rPr>
        <w:t>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9</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年度其他政府性基金及对应专项债务收入安排的支出等</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年度抗疫特别国债安排的支出等</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widowControl/>
        <w:topLinePunct/>
        <w:spacing w:line="560" w:lineRule="exact"/>
        <w:ind w:firstLine="645"/>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组织对“失业保险工作专项项目”等</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万元。从评价情况来看，通过认真对照《20</w:t>
      </w:r>
      <w:r>
        <w:rPr>
          <w:rFonts w:hint="eastAsia" w:cs="黑体" w:asciiTheme="minorEastAsia" w:hAnsiTheme="minorEastAsia"/>
          <w:color w:val="000000"/>
          <w:kern w:val="0"/>
          <w:sz w:val="32"/>
          <w:szCs w:val="32"/>
          <w:lang w:val="en-US" w:eastAsia="zh-CN"/>
        </w:rPr>
        <w:t>21</w:t>
      </w:r>
      <w:r>
        <w:rPr>
          <w:rFonts w:hint="eastAsia" w:cs="黑体" w:asciiTheme="minorEastAsia" w:hAnsiTheme="minorEastAsia"/>
          <w:color w:val="000000"/>
          <w:kern w:val="0"/>
          <w:sz w:val="32"/>
          <w:szCs w:val="32"/>
        </w:rPr>
        <w:t>年沅江市部门整体支出绩效评价指标表》开展自评，我局在“投入”、“过程”、“产出”、“效果”等方面都执行较好</w:t>
      </w:r>
      <w:r>
        <w:rPr>
          <w:rFonts w:hint="eastAsia" w:cs="黑体" w:asciiTheme="minorEastAsia" w:hAnsiTheme="minorEastAsia"/>
          <w:color w:val="000000"/>
          <w:kern w:val="0"/>
          <w:sz w:val="32"/>
          <w:szCs w:val="32"/>
          <w:lang w:eastAsia="zh-CN"/>
        </w:rPr>
        <w:t>。</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对</w:t>
      </w:r>
      <w:r>
        <w:rPr>
          <w:rFonts w:hint="eastAsia" w:cs="黑体" w:asciiTheme="minorEastAsia" w:hAnsiTheme="minorEastAsia"/>
          <w:color w:val="000000"/>
          <w:kern w:val="0"/>
          <w:sz w:val="32"/>
          <w:szCs w:val="32"/>
        </w:rPr>
        <w:t>失业保险工作专项项目绩效自评综述：根据年初设定的绩效目标，项目绩效自评得分为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。项目绩效目标完成情况：一是督促资金到位；二是保障</w:t>
      </w:r>
      <w:r>
        <w:rPr>
          <w:rFonts w:hint="eastAsia" w:cs="黑体" w:asciiTheme="minorEastAsia" w:hAnsiTheme="minorEastAsia"/>
          <w:color w:val="000000"/>
          <w:kern w:val="0"/>
          <w:sz w:val="32"/>
          <w:szCs w:val="32"/>
          <w:lang w:eastAsia="zh-CN"/>
        </w:rPr>
        <w:t>沅江市就业服务中心</w:t>
      </w:r>
      <w:r>
        <w:rPr>
          <w:rFonts w:hint="eastAsia" w:cs="黑体" w:asciiTheme="minorEastAsia" w:hAnsiTheme="minorEastAsia"/>
          <w:color w:val="000000"/>
          <w:kern w:val="0"/>
          <w:sz w:val="32"/>
          <w:szCs w:val="32"/>
        </w:rPr>
        <w:t>工作的总体运行。发现的主要问题及原因：一是</w:t>
      </w:r>
      <w:r>
        <w:rPr>
          <w:rFonts w:hint="eastAsia" w:ascii="仿宋" w:hAnsi="仿宋" w:eastAsia="仿宋" w:cs="宋体"/>
          <w:color w:val="000000"/>
          <w:kern w:val="0"/>
          <w:sz w:val="26"/>
          <w:szCs w:val="26"/>
          <w:highlight w:val="none"/>
        </w:rPr>
        <w:t>项</w:t>
      </w:r>
      <w:r>
        <w:rPr>
          <w:rFonts w:hint="eastAsia" w:cs="黑体" w:asciiTheme="minorEastAsia" w:hAnsiTheme="minorEastAsia"/>
          <w:color w:val="000000"/>
          <w:kern w:val="0"/>
          <w:sz w:val="32"/>
          <w:szCs w:val="32"/>
        </w:rPr>
        <w:t>目建设程序有待进一步规范；二是</w:t>
      </w:r>
      <w:r>
        <w:rPr>
          <w:rFonts w:hint="eastAsia" w:cs="黑体" w:asciiTheme="minorEastAsia" w:hAnsiTheme="minorEastAsia"/>
          <w:color w:val="000000"/>
          <w:kern w:val="0"/>
          <w:sz w:val="32"/>
          <w:szCs w:val="32"/>
          <w:lang w:eastAsia="zh-CN"/>
        </w:rPr>
        <w:t>专业技术培养和职业道德培训需要加强：三是项目后续管理有待进一步加强：四是</w:t>
      </w:r>
      <w:r>
        <w:rPr>
          <w:rFonts w:hint="eastAsia" w:cs="黑体" w:asciiTheme="minorEastAsia" w:hAnsiTheme="minorEastAsia"/>
          <w:color w:val="000000"/>
          <w:kern w:val="0"/>
          <w:sz w:val="32"/>
          <w:szCs w:val="32"/>
        </w:rPr>
        <w:t>财政预算项目经费严重不足，导致目标任务的完成比较困难，望财政领导适当增加我中心的专项财政预算资金</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下一步改进措施：一是加大政策倾斜和资金扶持力度，使培训工作迈上一个新的台阶</w:t>
      </w:r>
      <w:r>
        <w:rPr>
          <w:rFonts w:hint="eastAsia" w:cs="黑体" w:asciiTheme="minorEastAsia" w:hAnsiTheme="minorEastAsia"/>
          <w:color w:val="000000"/>
          <w:kern w:val="0"/>
          <w:sz w:val="32"/>
          <w:szCs w:val="32"/>
        </w:rPr>
        <w:t>；二是加强专业技术培养和职业道德培训，切实提高部门项目管理水平</w:t>
      </w:r>
      <w:r>
        <w:rPr>
          <w:rFonts w:hint="eastAsia" w:cs="黑体" w:asciiTheme="minorEastAsia" w:hAnsiTheme="minorEastAsia"/>
          <w:color w:val="000000"/>
          <w:kern w:val="0"/>
          <w:sz w:val="32"/>
          <w:szCs w:val="32"/>
          <w:lang w:eastAsia="zh-CN"/>
        </w:rPr>
        <w:t>：三是</w:t>
      </w:r>
      <w:r>
        <w:rPr>
          <w:rFonts w:hint="eastAsia" w:cs="黑体" w:asciiTheme="minorEastAsia" w:hAnsiTheme="minorEastAsia"/>
          <w:color w:val="000000"/>
          <w:kern w:val="0"/>
          <w:sz w:val="32"/>
          <w:szCs w:val="32"/>
        </w:rPr>
        <w:t>认真贯彻执行上级部门文件精神，为专项工作做好事前、事中、事后的具体计划，最大程度完成预期目标。</w:t>
      </w:r>
    </w:p>
    <w:p>
      <w:pPr>
        <w:autoSpaceDE w:val="0"/>
        <w:autoSpaceDN w:val="0"/>
        <w:adjustRightInd w:val="0"/>
        <w:ind w:firstLine="640" w:firstLineChars="200"/>
        <w:jc w:val="left"/>
        <w:rPr>
          <w:rFonts w:hint="eastAsia" w:ascii="仿宋" w:hAnsi="仿宋" w:eastAsia="仿宋" w:cs="宋体"/>
          <w:kern w:val="0"/>
          <w:sz w:val="26"/>
          <w:szCs w:val="26"/>
          <w:highlight w:val="none"/>
          <w:shd w:val="clear" w:color="auto" w:fill="FFFFFF"/>
        </w:rPr>
      </w:pPr>
      <w:r>
        <w:rPr>
          <w:rFonts w:hint="eastAsia" w:cs="黑体" w:asciiTheme="minorEastAsia" w:hAnsiTheme="minorEastAsia"/>
          <w:color w:val="000000"/>
          <w:kern w:val="0"/>
          <w:sz w:val="32"/>
          <w:szCs w:val="32"/>
          <w:lang w:eastAsia="zh-CN"/>
        </w:rPr>
        <w:t>对</w:t>
      </w:r>
      <w:r>
        <w:rPr>
          <w:rFonts w:hint="eastAsia" w:cs="黑体" w:asciiTheme="minorEastAsia" w:hAnsiTheme="minorEastAsia"/>
          <w:color w:val="000000"/>
          <w:kern w:val="0"/>
          <w:sz w:val="32"/>
          <w:szCs w:val="32"/>
        </w:rPr>
        <w:t>农民工培训项目绩效自评综述：农民工培训2000人次，完成任务达100%（任务数2000人），其中纳入202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全市就业和社会保障目标任务的贫困地区劳动力素质提升培训完成培训325人次，完成任务达101%（任务数300人），贫困家庭“两后生”技能培训25人，完成任务达100%（任务数25人），已全面完成市局下达的所有目标任务</w:t>
      </w:r>
      <w:r>
        <w:rPr>
          <w:rFonts w:hint="eastAsia" w:ascii="仿宋" w:hAnsi="仿宋" w:eastAsia="仿宋" w:cs="宋体"/>
          <w:kern w:val="0"/>
          <w:sz w:val="26"/>
          <w:szCs w:val="26"/>
          <w:highlight w:val="none"/>
          <w:shd w:val="clear" w:color="auto" w:fill="FFFFFF"/>
        </w:rPr>
        <w:t>。</w:t>
      </w:r>
    </w:p>
    <w:p>
      <w:pPr>
        <w:autoSpaceDE w:val="0"/>
        <w:autoSpaceDN w:val="0"/>
        <w:adjustRightInd w:val="0"/>
        <w:ind w:firstLine="520" w:firstLineChars="200"/>
        <w:jc w:val="left"/>
        <w:rPr>
          <w:rFonts w:hint="eastAsia" w:ascii="仿宋" w:hAnsi="仿宋" w:eastAsia="仿宋" w:cs="宋体"/>
          <w:kern w:val="0"/>
          <w:sz w:val="26"/>
          <w:szCs w:val="26"/>
          <w:highlight w:val="none"/>
          <w:shd w:val="clear" w:color="auto" w:fill="FFFFFF"/>
        </w:rPr>
      </w:pP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1</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2</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sz w:val="72"/>
          <w:szCs w:val="7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left"/>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1、</w:t>
      </w:r>
      <w:r>
        <w:rPr>
          <w:rFonts w:hint="eastAsia" w:cs="黑体" w:asciiTheme="minorEastAsia" w:hAnsiTheme="minorEastAsia"/>
          <w:b/>
          <w:color w:val="000000"/>
          <w:kern w:val="0"/>
          <w:sz w:val="32"/>
          <w:szCs w:val="32"/>
        </w:rPr>
        <w:t>2021年度部门整体支出绩效评价报告</w:t>
      </w:r>
    </w:p>
    <w:p>
      <w:pPr>
        <w:ind w:firstLine="640" w:firstLineChars="200"/>
        <w:jc w:val="left"/>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w:t>
      </w:r>
      <w:r>
        <w:rPr>
          <w:rFonts w:hint="eastAsia" w:cs="黑体" w:asciiTheme="minorEastAsia" w:hAnsiTheme="minorEastAsia"/>
          <w:b/>
          <w:color w:val="000000"/>
          <w:kern w:val="0"/>
          <w:sz w:val="32"/>
          <w:szCs w:val="32"/>
          <w:lang w:val="en-US" w:eastAsia="zh-CN"/>
        </w:rPr>
        <w:t>21</w:t>
      </w:r>
      <w:r>
        <w:rPr>
          <w:rFonts w:hint="eastAsia" w:cs="黑体" w:asciiTheme="minorEastAsia" w:hAnsiTheme="minorEastAsia"/>
          <w:b/>
          <w:color w:val="000000"/>
          <w:kern w:val="0"/>
          <w:sz w:val="32"/>
          <w:szCs w:val="32"/>
        </w:rPr>
        <w:t>年沅江市</w:t>
      </w:r>
      <w:r>
        <w:rPr>
          <w:rFonts w:hint="eastAsia" w:cs="黑体" w:asciiTheme="minorEastAsia" w:hAnsiTheme="minorEastAsia"/>
          <w:b/>
          <w:color w:val="000000"/>
          <w:kern w:val="0"/>
          <w:sz w:val="32"/>
          <w:szCs w:val="32"/>
          <w:lang w:eastAsia="zh-CN"/>
        </w:rPr>
        <w:t>就业服务中心</w:t>
      </w:r>
      <w:r>
        <w:rPr>
          <w:rFonts w:hint="eastAsia" w:cs="黑体" w:asciiTheme="minorEastAsia" w:hAnsiTheme="minorEastAsia"/>
          <w:b/>
          <w:color w:val="000000"/>
          <w:kern w:val="0"/>
          <w:sz w:val="32"/>
          <w:szCs w:val="32"/>
        </w:rPr>
        <w:t>决算公开表格</w:t>
      </w:r>
    </w:p>
    <w:p>
      <w:pPr>
        <w:ind w:firstLine="640" w:firstLineChars="200"/>
        <w:jc w:val="left"/>
        <w:rPr>
          <w:rFonts w:hint="eastAsia" w:cs="黑体" w:asciiTheme="minorEastAsia" w:hAnsiTheme="minorEastAsia" w:eastAsiaTheme="minorEastAsia"/>
          <w:color w:val="000000"/>
          <w:kern w:val="0"/>
          <w:sz w:val="32"/>
          <w:szCs w:val="32"/>
          <w:lang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Yjg0ZWJhYTczYWViODJkMDdiZmE1NzZkNzQ0Ym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85B23"/>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1A24F4"/>
    <w:rsid w:val="014D4677"/>
    <w:rsid w:val="031B29A5"/>
    <w:rsid w:val="035B33C7"/>
    <w:rsid w:val="03892A60"/>
    <w:rsid w:val="03C03826"/>
    <w:rsid w:val="03CF5817"/>
    <w:rsid w:val="03EE3EEF"/>
    <w:rsid w:val="050F0848"/>
    <w:rsid w:val="05244D73"/>
    <w:rsid w:val="05C73211"/>
    <w:rsid w:val="0600296F"/>
    <w:rsid w:val="06616D3B"/>
    <w:rsid w:val="07726BE5"/>
    <w:rsid w:val="08162D9E"/>
    <w:rsid w:val="09A17C56"/>
    <w:rsid w:val="0AD0750A"/>
    <w:rsid w:val="0B4B116C"/>
    <w:rsid w:val="0BBA0B5B"/>
    <w:rsid w:val="0DB24A71"/>
    <w:rsid w:val="0E3E7DE0"/>
    <w:rsid w:val="0F362BEE"/>
    <w:rsid w:val="104F3F68"/>
    <w:rsid w:val="107F25BC"/>
    <w:rsid w:val="10CF355A"/>
    <w:rsid w:val="113A4C18"/>
    <w:rsid w:val="11920286"/>
    <w:rsid w:val="127001C5"/>
    <w:rsid w:val="129A52ED"/>
    <w:rsid w:val="134C5C8A"/>
    <w:rsid w:val="14217D71"/>
    <w:rsid w:val="142F1F9C"/>
    <w:rsid w:val="14774EC2"/>
    <w:rsid w:val="14A800EA"/>
    <w:rsid w:val="16390B2A"/>
    <w:rsid w:val="16D76A65"/>
    <w:rsid w:val="16F438A5"/>
    <w:rsid w:val="17033CFE"/>
    <w:rsid w:val="170A0BE8"/>
    <w:rsid w:val="18552337"/>
    <w:rsid w:val="19054581"/>
    <w:rsid w:val="1ABA7596"/>
    <w:rsid w:val="1B445F70"/>
    <w:rsid w:val="1B7D0D30"/>
    <w:rsid w:val="1BCF15F4"/>
    <w:rsid w:val="1C0D6F61"/>
    <w:rsid w:val="1C97240B"/>
    <w:rsid w:val="1C9D605B"/>
    <w:rsid w:val="1D8316F5"/>
    <w:rsid w:val="1EF503D0"/>
    <w:rsid w:val="200829CB"/>
    <w:rsid w:val="20F12E19"/>
    <w:rsid w:val="215C37A2"/>
    <w:rsid w:val="22421B7E"/>
    <w:rsid w:val="235A0CE3"/>
    <w:rsid w:val="24376D95"/>
    <w:rsid w:val="24E24EDC"/>
    <w:rsid w:val="24FA6597"/>
    <w:rsid w:val="254A5A35"/>
    <w:rsid w:val="255014DD"/>
    <w:rsid w:val="271B474C"/>
    <w:rsid w:val="27415BC4"/>
    <w:rsid w:val="27BF6FF4"/>
    <w:rsid w:val="27FA25B3"/>
    <w:rsid w:val="27FE720C"/>
    <w:rsid w:val="285A3310"/>
    <w:rsid w:val="289E73E3"/>
    <w:rsid w:val="28D9041B"/>
    <w:rsid w:val="297D678A"/>
    <w:rsid w:val="29B449E4"/>
    <w:rsid w:val="29E32CAE"/>
    <w:rsid w:val="2A3C7D99"/>
    <w:rsid w:val="2AC512BB"/>
    <w:rsid w:val="2B8A6344"/>
    <w:rsid w:val="2C353357"/>
    <w:rsid w:val="2D15106C"/>
    <w:rsid w:val="2D207958"/>
    <w:rsid w:val="2DA03C2C"/>
    <w:rsid w:val="2E421F57"/>
    <w:rsid w:val="2F503401"/>
    <w:rsid w:val="2FCC0CD9"/>
    <w:rsid w:val="30093AB6"/>
    <w:rsid w:val="30AE6631"/>
    <w:rsid w:val="31011041"/>
    <w:rsid w:val="314E571E"/>
    <w:rsid w:val="31B85219"/>
    <w:rsid w:val="328C29A2"/>
    <w:rsid w:val="32C6440B"/>
    <w:rsid w:val="334967F4"/>
    <w:rsid w:val="34A00B9B"/>
    <w:rsid w:val="34BA1A48"/>
    <w:rsid w:val="35C4598D"/>
    <w:rsid w:val="35DF41B3"/>
    <w:rsid w:val="36710963"/>
    <w:rsid w:val="373158C6"/>
    <w:rsid w:val="389775FB"/>
    <w:rsid w:val="39DA3FF3"/>
    <w:rsid w:val="3A275C7E"/>
    <w:rsid w:val="3A4B1C0E"/>
    <w:rsid w:val="3A5913BB"/>
    <w:rsid w:val="3A852E75"/>
    <w:rsid w:val="3A863FA8"/>
    <w:rsid w:val="3B612F35"/>
    <w:rsid w:val="3B7A3EA9"/>
    <w:rsid w:val="3BB450ED"/>
    <w:rsid w:val="3C8B4437"/>
    <w:rsid w:val="3C9C79C8"/>
    <w:rsid w:val="3CCA73D4"/>
    <w:rsid w:val="3E3A47C4"/>
    <w:rsid w:val="3E703177"/>
    <w:rsid w:val="40CB5002"/>
    <w:rsid w:val="40EE65D6"/>
    <w:rsid w:val="42DA5063"/>
    <w:rsid w:val="4347329D"/>
    <w:rsid w:val="44427364"/>
    <w:rsid w:val="44B709C0"/>
    <w:rsid w:val="44F70C6A"/>
    <w:rsid w:val="455563DD"/>
    <w:rsid w:val="466435C2"/>
    <w:rsid w:val="469519CD"/>
    <w:rsid w:val="474517D5"/>
    <w:rsid w:val="47561DC6"/>
    <w:rsid w:val="4876582E"/>
    <w:rsid w:val="4A716FAE"/>
    <w:rsid w:val="4A9338E4"/>
    <w:rsid w:val="4BA04D6B"/>
    <w:rsid w:val="4C04206C"/>
    <w:rsid w:val="4C1A53F2"/>
    <w:rsid w:val="4C377D59"/>
    <w:rsid w:val="4D9549A9"/>
    <w:rsid w:val="4E604FB7"/>
    <w:rsid w:val="4E8A2033"/>
    <w:rsid w:val="4EA2112B"/>
    <w:rsid w:val="4FA72F3D"/>
    <w:rsid w:val="50C00B13"/>
    <w:rsid w:val="51392821"/>
    <w:rsid w:val="515240B8"/>
    <w:rsid w:val="51CC5306"/>
    <w:rsid w:val="51E376BE"/>
    <w:rsid w:val="523730CC"/>
    <w:rsid w:val="53316F22"/>
    <w:rsid w:val="534C5B09"/>
    <w:rsid w:val="54F55D2D"/>
    <w:rsid w:val="55161382"/>
    <w:rsid w:val="55381D24"/>
    <w:rsid w:val="556233C2"/>
    <w:rsid w:val="558772CD"/>
    <w:rsid w:val="55D5614F"/>
    <w:rsid w:val="560F72DD"/>
    <w:rsid w:val="562F6439"/>
    <w:rsid w:val="567B29B7"/>
    <w:rsid w:val="568153A5"/>
    <w:rsid w:val="5948286E"/>
    <w:rsid w:val="596E3BE7"/>
    <w:rsid w:val="59D9376A"/>
    <w:rsid w:val="5A225816"/>
    <w:rsid w:val="5AEC4AE7"/>
    <w:rsid w:val="5B307ABF"/>
    <w:rsid w:val="5B4D68C3"/>
    <w:rsid w:val="5B62214A"/>
    <w:rsid w:val="5B755A94"/>
    <w:rsid w:val="5BB1355B"/>
    <w:rsid w:val="5CDD759E"/>
    <w:rsid w:val="5D2260B3"/>
    <w:rsid w:val="5D5932FD"/>
    <w:rsid w:val="5D762E2E"/>
    <w:rsid w:val="5E186674"/>
    <w:rsid w:val="603D6F06"/>
    <w:rsid w:val="60BE3DA6"/>
    <w:rsid w:val="61137682"/>
    <w:rsid w:val="61E233B7"/>
    <w:rsid w:val="63431178"/>
    <w:rsid w:val="63BC45E5"/>
    <w:rsid w:val="63E8362C"/>
    <w:rsid w:val="64041AE8"/>
    <w:rsid w:val="65554CF2"/>
    <w:rsid w:val="65AE6817"/>
    <w:rsid w:val="65B31A18"/>
    <w:rsid w:val="66154340"/>
    <w:rsid w:val="665E7BD6"/>
    <w:rsid w:val="685724D9"/>
    <w:rsid w:val="68B910F3"/>
    <w:rsid w:val="68CA3301"/>
    <w:rsid w:val="68E334F7"/>
    <w:rsid w:val="69E824B7"/>
    <w:rsid w:val="6A837C0B"/>
    <w:rsid w:val="6AC77447"/>
    <w:rsid w:val="6BF012D0"/>
    <w:rsid w:val="6C2A7F7E"/>
    <w:rsid w:val="6CB4334D"/>
    <w:rsid w:val="6CDC6C95"/>
    <w:rsid w:val="6D836174"/>
    <w:rsid w:val="6DDC4373"/>
    <w:rsid w:val="6F770CC7"/>
    <w:rsid w:val="70BF3967"/>
    <w:rsid w:val="71031AA6"/>
    <w:rsid w:val="710B75BA"/>
    <w:rsid w:val="723637B5"/>
    <w:rsid w:val="72530DD3"/>
    <w:rsid w:val="729624A5"/>
    <w:rsid w:val="7330146C"/>
    <w:rsid w:val="745A581B"/>
    <w:rsid w:val="74E10D62"/>
    <w:rsid w:val="75F3383E"/>
    <w:rsid w:val="772D2E23"/>
    <w:rsid w:val="77823188"/>
    <w:rsid w:val="77877BF2"/>
    <w:rsid w:val="788039DC"/>
    <w:rsid w:val="78D827F5"/>
    <w:rsid w:val="78DB2ADD"/>
    <w:rsid w:val="793C06B6"/>
    <w:rsid w:val="798B4889"/>
    <w:rsid w:val="7A083C89"/>
    <w:rsid w:val="7A8377B3"/>
    <w:rsid w:val="7B284DDB"/>
    <w:rsid w:val="7B3F6659"/>
    <w:rsid w:val="7B713AB0"/>
    <w:rsid w:val="7D284586"/>
    <w:rsid w:val="7EC44264"/>
    <w:rsid w:val="7F740022"/>
    <w:rsid w:val="7F85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7530</Words>
  <Characters>9212</Characters>
  <Lines>69</Lines>
  <Paragraphs>19</Paragraphs>
  <TotalTime>0</TotalTime>
  <ScaleCrop>false</ScaleCrop>
  <LinksUpToDate>false</LinksUpToDate>
  <CharactersWithSpaces>9879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Anna</cp:lastModifiedBy>
  <cp:lastPrinted>2022-07-27T12:55:00Z</cp:lastPrinted>
  <dcterms:modified xsi:type="dcterms:W3CDTF">2022-09-22T02:26:21Z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52EBFEE63D724D58813834A8AF4CF191</vt:lpwstr>
  </property>
</Properties>
</file>