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B6" w:rsidRDefault="00F32BB6">
      <w:pPr>
        <w:rPr>
          <w:rFonts w:hint="eastAsia"/>
        </w:rPr>
      </w:pPr>
    </w:p>
    <w:p w:rsidR="00F32BB6" w:rsidRDefault="00F32BB6" w:rsidP="00E804E4">
      <w:pPr>
        <w:pStyle w:val="1"/>
        <w:jc w:val="center"/>
      </w:pPr>
      <w:r w:rsidRPr="00E804E4">
        <w:rPr>
          <w:rFonts w:hint="eastAsia"/>
          <w:szCs w:val="33"/>
        </w:rPr>
        <w:t>沅江市</w:t>
      </w:r>
      <w:r w:rsidRPr="00E804E4">
        <w:rPr>
          <w:rFonts w:hint="eastAsia"/>
          <w:szCs w:val="33"/>
        </w:rPr>
        <w:t>2022</w:t>
      </w:r>
      <w:r w:rsidRPr="00E804E4">
        <w:rPr>
          <w:rFonts w:hint="eastAsia"/>
        </w:rPr>
        <w:t>年</w:t>
      </w:r>
      <w:r w:rsidR="000925FF">
        <w:rPr>
          <w:rFonts w:hint="eastAsia"/>
        </w:rPr>
        <w:t>1-9</w:t>
      </w:r>
      <w:r w:rsidR="000925FF">
        <w:rPr>
          <w:rFonts w:hint="eastAsia"/>
        </w:rPr>
        <w:t>月</w:t>
      </w:r>
      <w:r w:rsidRPr="00E804E4">
        <w:rPr>
          <w:rFonts w:hint="eastAsia"/>
        </w:rPr>
        <w:t>自然资源权属争议调处情况统计表</w:t>
      </w:r>
    </w:p>
    <w:tbl>
      <w:tblPr>
        <w:tblW w:w="19440" w:type="dxa"/>
        <w:tblInd w:w="93" w:type="dxa"/>
        <w:tblLook w:val="04A0"/>
      </w:tblPr>
      <w:tblGrid>
        <w:gridCol w:w="1080"/>
        <w:gridCol w:w="1080"/>
        <w:gridCol w:w="1080"/>
        <w:gridCol w:w="1080"/>
        <w:gridCol w:w="1080"/>
        <w:gridCol w:w="1080"/>
        <w:gridCol w:w="1080"/>
        <w:gridCol w:w="1080"/>
        <w:gridCol w:w="1080"/>
        <w:gridCol w:w="1080"/>
        <w:gridCol w:w="1080"/>
        <w:gridCol w:w="1080"/>
        <w:gridCol w:w="1080"/>
        <w:gridCol w:w="1080"/>
        <w:gridCol w:w="1080"/>
        <w:gridCol w:w="1080"/>
        <w:gridCol w:w="1080"/>
        <w:gridCol w:w="1080"/>
      </w:tblGrid>
      <w:tr w:rsidR="00F32BB6" w:rsidRPr="00F32BB6" w:rsidTr="00E804E4">
        <w:trPr>
          <w:trHeight w:val="467"/>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设区市</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内容</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总计</w:t>
            </w:r>
          </w:p>
        </w:tc>
        <w:tc>
          <w:tcPr>
            <w:tcW w:w="11880" w:type="dxa"/>
            <w:gridSpan w:val="11"/>
            <w:tcBorders>
              <w:top w:val="single" w:sz="4" w:space="0" w:color="auto"/>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现有争议数</w:t>
            </w:r>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当年调处的自然资源权属争议</w:t>
            </w:r>
          </w:p>
        </w:tc>
      </w:tr>
      <w:tr w:rsidR="00F32BB6" w:rsidRPr="00F32BB6" w:rsidTr="00F32BB6">
        <w:trPr>
          <w:trHeight w:val="78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合计</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现有争议数量</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自然资源所有权争议</w:t>
            </w:r>
          </w:p>
        </w:tc>
        <w:tc>
          <w:tcPr>
            <w:tcW w:w="5400" w:type="dxa"/>
            <w:gridSpan w:val="5"/>
            <w:tcBorders>
              <w:top w:val="single" w:sz="4" w:space="0" w:color="auto"/>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自然资源使用权争议</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其中：涉及军用土地争议</w:t>
            </w:r>
          </w:p>
        </w:tc>
        <w:tc>
          <w:tcPr>
            <w:tcW w:w="3240" w:type="dxa"/>
            <w:gridSpan w:val="3"/>
            <w:vMerge/>
            <w:tcBorders>
              <w:top w:val="nil"/>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r>
      <w:tr w:rsidR="00F32BB6" w:rsidRPr="00F32BB6" w:rsidTr="00F32BB6">
        <w:trPr>
          <w:trHeight w:val="78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自然资源部门受理争议</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通过其他方式掌握的争议</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国有所有权与集体所有权争议</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集体所有权之间的争议</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国有土地使用权争议</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集体建设用地使用权争议</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海域使用权争议</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林地使用权争议</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草原使用权争议</w:t>
            </w:r>
          </w:p>
        </w:tc>
        <w:tc>
          <w:tcPr>
            <w:tcW w:w="1080" w:type="dxa"/>
            <w:vMerge/>
            <w:tcBorders>
              <w:top w:val="nil"/>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合计</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调解解决争议数</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作出行政处理争议数</w:t>
            </w:r>
          </w:p>
        </w:tc>
      </w:tr>
      <w:tr w:rsidR="00F32BB6" w:rsidRPr="00F32BB6" w:rsidTr="00626C3D">
        <w:trPr>
          <w:trHeight w:val="42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1</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2</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3</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4</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5</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6</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7</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8</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9</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10</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11</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12</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13</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14</w:t>
            </w:r>
          </w:p>
        </w:tc>
        <w:tc>
          <w:tcPr>
            <w:tcW w:w="1080" w:type="dxa"/>
            <w:tcBorders>
              <w:top w:val="nil"/>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15</w:t>
            </w:r>
          </w:p>
        </w:tc>
      </w:tr>
      <w:tr w:rsidR="00F32BB6" w:rsidRPr="00F32BB6" w:rsidTr="00F32BB6">
        <w:trPr>
          <w:trHeight w:val="420"/>
        </w:trPr>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沅江市</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争议数</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r>
      <w:tr w:rsidR="00F32BB6" w:rsidRPr="00F32BB6" w:rsidTr="00626C3D">
        <w:trPr>
          <w:trHeight w:val="420"/>
        </w:trPr>
        <w:tc>
          <w:tcPr>
            <w:tcW w:w="1080" w:type="dxa"/>
            <w:vMerge/>
            <w:tcBorders>
              <w:top w:val="nil"/>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争议面积</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0</w:t>
            </w:r>
          </w:p>
        </w:tc>
      </w:tr>
      <w:tr w:rsidR="00F32BB6" w:rsidRPr="00F32BB6" w:rsidTr="00626C3D">
        <w:trPr>
          <w:trHeight w:val="600"/>
        </w:trPr>
        <w:tc>
          <w:tcPr>
            <w:tcW w:w="21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BB6" w:rsidRPr="00F32BB6" w:rsidRDefault="00F32BB6" w:rsidP="00F32BB6">
            <w:pPr>
              <w:adjustRightInd/>
              <w:snapToGrid/>
              <w:spacing w:after="0"/>
              <w:jc w:val="center"/>
              <w:rPr>
                <w:rFonts w:ascii="宋体" w:eastAsia="宋体" w:hAnsi="宋体" w:cs="宋体"/>
                <w:color w:val="000000"/>
                <w:sz w:val="20"/>
                <w:szCs w:val="20"/>
              </w:rPr>
            </w:pPr>
            <w:r w:rsidRPr="00F32BB6">
              <w:rPr>
                <w:rFonts w:ascii="宋体" w:eastAsia="宋体" w:hAnsi="宋体" w:cs="宋体" w:hint="eastAsia"/>
                <w:color w:val="000000"/>
                <w:sz w:val="20"/>
                <w:szCs w:val="20"/>
              </w:rPr>
              <w:t>备注：</w:t>
            </w: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1.“3”自然资源部门受理是指依据相关法律、法规、规章规定，各级自然资源主管部门正式受理的自然资源权属争议数量；</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2.“4”通过其他方式掌握的争议，是指地方自然资源主管部门在开展自然资源确权登记工作中发现的以及信访等渠道反映的自然资源权属争议数量；</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3.“5”国有所有权与集体所有权争议，是指自然资源归国家所有还是集体所有产生的争议；</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4.“6”集体所有权之间的争议，是指集体经济组织之间自然资源所有权归属产生的争议；</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5.“7”国有土地使用权争议，是指国有建设用地和除国有林地、草原之外的国有农用地使用权争议；</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6.“5、6、7、8、9、10、11、12”是指现有争议数，包含往年受理及当年受理争议数；</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7.“10”林地使用权争议，是指森林、林木、林地使用权争议；</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8.“12”涉及军用土地争议，是指与军队单位使用军用土地的争议，作为特殊情况单独统计；</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9.“14”调解解决争议数，是指各级自然资源主管部门通过行政调解、协调的方式解决权属争议数量；</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10.“15”作出行政处理争议数，是指各级地方人民政府通过作出行政处理决定方式解决权属争议数量；</w:t>
            </w:r>
          </w:p>
        </w:tc>
      </w:tr>
      <w:tr w:rsidR="00F32BB6" w:rsidRPr="00F32BB6" w:rsidTr="00626C3D">
        <w:trPr>
          <w:trHeight w:val="600"/>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F32BB6" w:rsidRPr="00F32BB6" w:rsidRDefault="00F32BB6" w:rsidP="00F32BB6">
            <w:pPr>
              <w:adjustRightInd/>
              <w:snapToGrid/>
              <w:spacing w:after="0"/>
              <w:rPr>
                <w:rFonts w:ascii="宋体" w:eastAsia="宋体" w:hAnsi="宋体" w:cs="宋体"/>
                <w:color w:val="000000"/>
                <w:sz w:val="20"/>
                <w:szCs w:val="20"/>
              </w:rPr>
            </w:pPr>
          </w:p>
        </w:tc>
        <w:tc>
          <w:tcPr>
            <w:tcW w:w="17280" w:type="dxa"/>
            <w:gridSpan w:val="16"/>
            <w:tcBorders>
              <w:left w:val="single" w:sz="4" w:space="0" w:color="auto"/>
              <w:bottom w:val="single" w:sz="4" w:space="0" w:color="auto"/>
              <w:right w:val="single" w:sz="4" w:space="0" w:color="auto"/>
            </w:tcBorders>
            <w:shd w:val="clear" w:color="000000" w:fill="FFFFFF"/>
            <w:vAlign w:val="center"/>
            <w:hideMark/>
          </w:tcPr>
          <w:p w:rsidR="00F32BB6" w:rsidRPr="00F32BB6" w:rsidRDefault="00F32BB6" w:rsidP="00F32BB6">
            <w:pPr>
              <w:adjustRightInd/>
              <w:snapToGrid/>
              <w:spacing w:after="0"/>
              <w:rPr>
                <w:rFonts w:ascii="宋体" w:eastAsia="宋体" w:hAnsi="宋体" w:cs="宋体"/>
                <w:color w:val="000000"/>
                <w:sz w:val="20"/>
                <w:szCs w:val="20"/>
              </w:rPr>
            </w:pPr>
            <w:r w:rsidRPr="00F32BB6">
              <w:rPr>
                <w:rFonts w:ascii="宋体" w:eastAsia="宋体" w:hAnsi="宋体" w:cs="宋体" w:hint="eastAsia"/>
                <w:color w:val="000000"/>
                <w:sz w:val="20"/>
                <w:szCs w:val="20"/>
              </w:rPr>
              <w:t>11.逻辑关系为：1=2+13，2=3+4=5+6+7+8+9+10+11，13=14+15。</w:t>
            </w:r>
          </w:p>
        </w:tc>
      </w:tr>
    </w:tbl>
    <w:p w:rsidR="004358AB" w:rsidRPr="00F32BB6" w:rsidRDefault="004358AB" w:rsidP="00E804E4">
      <w:pPr>
        <w:rPr>
          <w:b/>
        </w:rPr>
      </w:pPr>
    </w:p>
    <w:sectPr w:rsidR="004358AB" w:rsidRPr="00F32BB6" w:rsidSect="00E804E4">
      <w:pgSz w:w="23814" w:h="16839" w:orient="landscape" w:code="8"/>
      <w:pgMar w:top="1134"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B6" w:rsidRDefault="000F2FB6" w:rsidP="00EA6B90">
      <w:pPr>
        <w:spacing w:after="0"/>
      </w:pPr>
      <w:r>
        <w:separator/>
      </w:r>
    </w:p>
  </w:endnote>
  <w:endnote w:type="continuationSeparator" w:id="0">
    <w:p w:rsidR="000F2FB6" w:rsidRDefault="000F2FB6" w:rsidP="00EA6B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B6" w:rsidRDefault="000F2FB6" w:rsidP="00EA6B90">
      <w:pPr>
        <w:spacing w:after="0"/>
      </w:pPr>
      <w:r>
        <w:separator/>
      </w:r>
    </w:p>
  </w:footnote>
  <w:footnote w:type="continuationSeparator" w:id="0">
    <w:p w:rsidR="000F2FB6" w:rsidRDefault="000F2FB6" w:rsidP="00EA6B9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1D50"/>
    <w:rsid w:val="000925FF"/>
    <w:rsid w:val="000F2FB6"/>
    <w:rsid w:val="00213DFD"/>
    <w:rsid w:val="00323B43"/>
    <w:rsid w:val="0032679A"/>
    <w:rsid w:val="003D37D8"/>
    <w:rsid w:val="00426133"/>
    <w:rsid w:val="004358AB"/>
    <w:rsid w:val="00456C42"/>
    <w:rsid w:val="004F7BC9"/>
    <w:rsid w:val="00626C3D"/>
    <w:rsid w:val="00872D9C"/>
    <w:rsid w:val="008B7726"/>
    <w:rsid w:val="009818EC"/>
    <w:rsid w:val="00A91EE4"/>
    <w:rsid w:val="00C94559"/>
    <w:rsid w:val="00D31D50"/>
    <w:rsid w:val="00E804E4"/>
    <w:rsid w:val="00EA6B90"/>
    <w:rsid w:val="00EA7059"/>
    <w:rsid w:val="00F32BB6"/>
    <w:rsid w:val="00F93587"/>
    <w:rsid w:val="00FF2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C9455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A6B90"/>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B9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A6B90"/>
    <w:rPr>
      <w:rFonts w:ascii="Tahoma" w:hAnsi="Tahoma"/>
      <w:sz w:val="18"/>
      <w:szCs w:val="18"/>
    </w:rPr>
  </w:style>
  <w:style w:type="paragraph" w:styleId="a4">
    <w:name w:val="footer"/>
    <w:basedOn w:val="a"/>
    <w:link w:val="Char0"/>
    <w:uiPriority w:val="99"/>
    <w:semiHidden/>
    <w:unhideWhenUsed/>
    <w:rsid w:val="00EA6B90"/>
    <w:pPr>
      <w:tabs>
        <w:tab w:val="center" w:pos="4153"/>
        <w:tab w:val="right" w:pos="8306"/>
      </w:tabs>
    </w:pPr>
    <w:rPr>
      <w:sz w:val="18"/>
      <w:szCs w:val="18"/>
    </w:rPr>
  </w:style>
  <w:style w:type="character" w:customStyle="1" w:styleId="Char0">
    <w:name w:val="页脚 Char"/>
    <w:basedOn w:val="a0"/>
    <w:link w:val="a4"/>
    <w:uiPriority w:val="99"/>
    <w:semiHidden/>
    <w:rsid w:val="00EA6B90"/>
    <w:rPr>
      <w:rFonts w:ascii="Tahoma" w:hAnsi="Tahoma"/>
      <w:sz w:val="18"/>
      <w:szCs w:val="18"/>
    </w:rPr>
  </w:style>
  <w:style w:type="character" w:customStyle="1" w:styleId="2Char">
    <w:name w:val="标题 2 Char"/>
    <w:basedOn w:val="a0"/>
    <w:link w:val="2"/>
    <w:uiPriority w:val="9"/>
    <w:rsid w:val="00EA6B90"/>
    <w:rPr>
      <w:rFonts w:ascii="宋体" w:eastAsia="宋体" w:hAnsi="宋体" w:cs="宋体"/>
      <w:b/>
      <w:bCs/>
      <w:sz w:val="36"/>
      <w:szCs w:val="36"/>
    </w:rPr>
  </w:style>
  <w:style w:type="paragraph" w:styleId="a5">
    <w:name w:val="Balloon Text"/>
    <w:basedOn w:val="a"/>
    <w:link w:val="Char1"/>
    <w:uiPriority w:val="99"/>
    <w:semiHidden/>
    <w:unhideWhenUsed/>
    <w:rsid w:val="00F32BB6"/>
    <w:pPr>
      <w:spacing w:after="0"/>
    </w:pPr>
    <w:rPr>
      <w:sz w:val="18"/>
      <w:szCs w:val="18"/>
    </w:rPr>
  </w:style>
  <w:style w:type="character" w:customStyle="1" w:styleId="Char1">
    <w:name w:val="批注框文本 Char"/>
    <w:basedOn w:val="a0"/>
    <w:link w:val="a5"/>
    <w:uiPriority w:val="99"/>
    <w:semiHidden/>
    <w:rsid w:val="00F32BB6"/>
    <w:rPr>
      <w:rFonts w:ascii="Tahoma" w:hAnsi="Tahoma"/>
      <w:sz w:val="18"/>
      <w:szCs w:val="18"/>
    </w:rPr>
  </w:style>
  <w:style w:type="character" w:customStyle="1" w:styleId="1Char">
    <w:name w:val="标题 1 Char"/>
    <w:basedOn w:val="a0"/>
    <w:link w:val="1"/>
    <w:uiPriority w:val="9"/>
    <w:rsid w:val="00C94559"/>
    <w:rPr>
      <w:rFonts w:ascii="Tahoma" w:hAnsi="Tahoma"/>
      <w:b/>
      <w:bCs/>
      <w:kern w:val="44"/>
      <w:sz w:val="44"/>
      <w:szCs w:val="44"/>
    </w:rPr>
  </w:style>
</w:styles>
</file>

<file path=word/webSettings.xml><?xml version="1.0" encoding="utf-8"?>
<w:webSettings xmlns:r="http://schemas.openxmlformats.org/officeDocument/2006/relationships" xmlns:w="http://schemas.openxmlformats.org/wordprocessingml/2006/main">
  <w:divs>
    <w:div w:id="300157144">
      <w:bodyDiv w:val="1"/>
      <w:marLeft w:val="0"/>
      <w:marRight w:val="0"/>
      <w:marTop w:val="0"/>
      <w:marBottom w:val="0"/>
      <w:divBdr>
        <w:top w:val="none" w:sz="0" w:space="0" w:color="auto"/>
        <w:left w:val="none" w:sz="0" w:space="0" w:color="auto"/>
        <w:bottom w:val="none" w:sz="0" w:space="0" w:color="auto"/>
        <w:right w:val="none" w:sz="0" w:space="0" w:color="auto"/>
      </w:divBdr>
    </w:div>
    <w:div w:id="915287024">
      <w:bodyDiv w:val="1"/>
      <w:marLeft w:val="0"/>
      <w:marRight w:val="0"/>
      <w:marTop w:val="0"/>
      <w:marBottom w:val="0"/>
      <w:divBdr>
        <w:top w:val="none" w:sz="0" w:space="0" w:color="auto"/>
        <w:left w:val="none" w:sz="0" w:space="0" w:color="auto"/>
        <w:bottom w:val="none" w:sz="0" w:space="0" w:color="auto"/>
        <w:right w:val="none" w:sz="0" w:space="0" w:color="auto"/>
      </w:divBdr>
    </w:div>
    <w:div w:id="1101880783">
      <w:bodyDiv w:val="1"/>
      <w:marLeft w:val="0"/>
      <w:marRight w:val="0"/>
      <w:marTop w:val="0"/>
      <w:marBottom w:val="0"/>
      <w:divBdr>
        <w:top w:val="none" w:sz="0" w:space="0" w:color="auto"/>
        <w:left w:val="none" w:sz="0" w:space="0" w:color="auto"/>
        <w:bottom w:val="none" w:sz="0" w:space="0" w:color="auto"/>
        <w:right w:val="none" w:sz="0" w:space="0" w:color="auto"/>
      </w:divBdr>
    </w:div>
    <w:div w:id="14555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cp:revision>
  <dcterms:created xsi:type="dcterms:W3CDTF">2008-09-11T17:20:00Z</dcterms:created>
  <dcterms:modified xsi:type="dcterms:W3CDTF">2022-11-03T06:28:00Z</dcterms:modified>
</cp:coreProperties>
</file>