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r>
        <w:rPr>
          <w:sz w:val="84"/>
          <w:szCs w:val="84"/>
        </w:rPr>
        <w:t>2021</w:t>
      </w:r>
      <w:r>
        <w:rPr>
          <w:rFonts w:hint="eastAsia"/>
          <w:sz w:val="84"/>
          <w:szCs w:val="84"/>
        </w:rPr>
        <w:t>年度</w:t>
      </w:r>
    </w:p>
    <w:p>
      <w:pPr>
        <w:pStyle w:val="13"/>
        <w:jc w:val="center"/>
        <w:rPr>
          <w:sz w:val="84"/>
          <w:szCs w:val="84"/>
        </w:rPr>
      </w:pPr>
      <w:r>
        <w:rPr>
          <w:rFonts w:hint="eastAsia"/>
          <w:sz w:val="84"/>
          <w:szCs w:val="84"/>
        </w:rPr>
        <w:t>沅江市农业农村局部门决算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40" w:lineRule="exact"/>
        <w:jc w:val="center"/>
        <w:rPr>
          <w:sz w:val="56"/>
          <w:szCs w:val="56"/>
        </w:rPr>
      </w:pPr>
    </w:p>
    <w:p>
      <w:pPr>
        <w:pStyle w:val="13"/>
        <w:spacing w:line="500" w:lineRule="exact"/>
        <w:jc w:val="center"/>
        <w:rPr>
          <w:b/>
          <w:sz w:val="36"/>
          <w:szCs w:val="28"/>
        </w:rPr>
      </w:pPr>
    </w:p>
    <w:p>
      <w:pPr>
        <w:pStyle w:val="13"/>
        <w:spacing w:line="500" w:lineRule="exact"/>
        <w:jc w:val="center"/>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rPr>
          <w:rFonts w:ascii="仿宋_GB2312" w:eastAsia="仿宋_GB2312" w:cs="仿宋_GB2312"/>
          <w:b/>
          <w:sz w:val="28"/>
          <w:szCs w:val="28"/>
        </w:rPr>
      </w:pPr>
      <w:r>
        <w:rPr>
          <w:rFonts w:hint="eastAsia"/>
          <w:b/>
          <w:sz w:val="28"/>
          <w:szCs w:val="28"/>
        </w:rPr>
        <w:t>第一部分单位概况</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13"/>
        <w:spacing w:line="500" w:lineRule="exact"/>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2021</w:t>
      </w:r>
      <w:r>
        <w:rPr>
          <w:rFonts w:hint="eastAsia" w:hAnsi="仿宋_GB2312"/>
          <w:b/>
          <w:sz w:val="28"/>
          <w:szCs w:val="28"/>
        </w:rPr>
        <w:t>年度部门决算表</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六、一般公共预算财政拨款基本支出决算明细表</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3"/>
        <w:spacing w:line="500" w:lineRule="exact"/>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2021</w:t>
      </w:r>
      <w:r>
        <w:rPr>
          <w:rFonts w:hint="eastAsia" w:hAnsi="仿宋_GB2312"/>
          <w:b/>
          <w:sz w:val="28"/>
          <w:szCs w:val="28"/>
        </w:rPr>
        <w:t>年度部门决算情况说明</w:t>
      </w:r>
    </w:p>
    <w:p>
      <w:pPr>
        <w:pStyle w:val="13"/>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0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九、机关运行经费支出说明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3"/>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13"/>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ascii="宋体" w:hAnsi="宋体" w:eastAsia="宋体" w:cs="仿宋_GB2312"/>
          <w:sz w:val="28"/>
          <w:szCs w:val="28"/>
        </w:rPr>
        <w:t>2021</w:t>
      </w:r>
      <w:r>
        <w:rPr>
          <w:rFonts w:hint="eastAsia" w:ascii="宋体" w:hAnsi="宋体" w:eastAsia="宋体" w:cs="仿宋_GB2312"/>
          <w:sz w:val="28"/>
          <w:szCs w:val="28"/>
        </w:rPr>
        <w:t>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3"/>
        <w:jc w:val="center"/>
        <w:rPr>
          <w:sz w:val="84"/>
          <w:szCs w:val="84"/>
        </w:rPr>
      </w:pPr>
      <w:r>
        <w:rPr>
          <w:rFonts w:hint="eastAsia"/>
          <w:sz w:val="84"/>
          <w:szCs w:val="84"/>
        </w:rPr>
        <w:t>第一部分</w:t>
      </w:r>
      <w:r>
        <w:rPr>
          <w:sz w:val="84"/>
          <w:szCs w:val="84"/>
        </w:rPr>
        <w:t xml:space="preserve"> </w:t>
      </w:r>
    </w:p>
    <w:p>
      <w:pPr>
        <w:pStyle w:val="13"/>
        <w:jc w:val="center"/>
        <w:rPr>
          <w:sz w:val="84"/>
          <w:szCs w:val="84"/>
        </w:rPr>
      </w:pPr>
    </w:p>
    <w:p>
      <w:pPr>
        <w:pStyle w:val="13"/>
        <w:jc w:val="center"/>
        <w:rPr>
          <w:sz w:val="84"/>
          <w:szCs w:val="84"/>
        </w:rPr>
      </w:pPr>
      <w:r>
        <w:rPr>
          <w:rFonts w:hint="eastAsia"/>
          <w:sz w:val="84"/>
          <w:szCs w:val="84"/>
        </w:rPr>
        <w:t>沅江市农业农村局单位概况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（一）统筹研究和组织实施“三农”工作的发展战略、中长期规划、重大政策。指导农业综合执法，参与涉农的财税、价格、收储、金融保险、进出口等政策制定。</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（二）统筹推动发展农村社会事业、农村公共服务、农村文化、农村基础设施和乡村治理。牵头组织改善农村人居环境。指导农村精神文明和优秀农耕文化建设。指导农业行业安全生产工作。</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研究提出深化农村经济体制改革和巩固完善农村基本经营制度的政策建议。负责农民承包地、农村宅基地改革和管理有关工作。负责农村集体产权制度改革，指导农村集体经济组织发展和集体资产管理工作．指导农民合作经济组织、农业社会化服务体系、新型农业经营主体建设与发展。</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（五）负责种植业、畜牧业、渔业、农垦、农业机械化等农业各产业的监督管理。指导粮食等农产品生产。组织构建现代农业产业体系、生产体系、经营体系，指导农业标准化生产。负责渔政渔港监督管理。</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负责农产品质量安全监督管理。组织开展农产品质量安全监测、追溯、风险评估，报送农产品质量安全信息。贯彻执行农产品质量安全国家标准，参与制定农产品质量安全地方标准并会同有关部门组织实施。指导农业检验检测体系建设。</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负责有关农业生产资料和农业投入品的监督管理。组织农业生产资料市场体系建设。贯彻执行农业生产资料、兽药质量、兽药残留限量和残留检测方法国家标准并监督实施。组织兽医医政、兽药药政药检工作，负责执业兽医和畜禽屠宰行业管理。</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（九）负责农业防灾减灾、农作物重大病虫害防治工作。指导动植物防疫检疫体系建设，组织、监督市内动植物防疫检疫和疫情扑灭工作。配合有关部门制定血吸虫病防治工作计划并组织实施。</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（十）负责农业投资管理。编制农业投资项目建设规划，提出农业投资规模和方向，扶持农业农村发展财政项目的建议，按规定权限审批农业投资项目，负责农业投资项目资金安排和监督管理。</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推动农业科技体制改革和农业科技创新体系建设。指导农业产业技术体系和农技推广体系建设，组织开展农业领域的高新技术和应用技术研究、科技成果转化和技木推广。负责农业转基因生物安全监督管理和农业植物新品种保护。</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（十二）指导农业农村人才工作。拟订农业农村人才队伍建设规划并组织实施，指导农业教育和农业职业技能开发，指导新型职业农民培育、农业科技人才培养和农村实用人才培训工作。</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（十三）组织参与农业对外合作工作。承办有关农业涉外事务，组织开展农业贸易促进和有关对外交流合作，具体执行有关农业援外项目。</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（十四）完成市委、市政府和市委农村工作领导小组交办的其他任务。</w:t>
      </w:r>
    </w:p>
    <w:p>
      <w:pPr>
        <w:widowControl/>
        <w:spacing w:line="600" w:lineRule="exact"/>
        <w:rPr>
          <w:rFonts w:ascii="黑体" w:hAnsi="黑体" w:eastAsia="黑体"/>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宋体"/>
          <w:bCs/>
          <w:kern w:val="0"/>
          <w:sz w:val="32"/>
          <w:szCs w:val="32"/>
        </w:rPr>
      </w:pPr>
      <w:r>
        <w:rPr>
          <w:rFonts w:hint="eastAsia" w:ascii="宋体" w:hAnsi="宋体"/>
          <w:bCs/>
          <w:kern w:val="0"/>
          <w:sz w:val="32"/>
          <w:szCs w:val="32"/>
        </w:rPr>
        <w:t>（一）内设机构设置。</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根据编委核定，我局内设股室</w:t>
      </w:r>
      <w:r>
        <w:rPr>
          <w:rFonts w:ascii="仿宋_GB2312" w:hAnsi="仿宋_GB2312" w:cs="仿宋_GB2312"/>
          <w:color w:val="000000"/>
          <w:kern w:val="0"/>
          <w:sz w:val="28"/>
          <w:szCs w:val="28"/>
        </w:rPr>
        <w:t>17</w:t>
      </w:r>
      <w:r>
        <w:rPr>
          <w:rFonts w:hint="eastAsia" w:ascii="仿宋_GB2312" w:hAnsi="仿宋_GB2312" w:cs="仿宋_GB2312"/>
          <w:color w:val="000000"/>
          <w:kern w:val="0"/>
          <w:sz w:val="28"/>
          <w:szCs w:val="28"/>
        </w:rPr>
        <w:t>个，所属事业单位</w:t>
      </w:r>
      <w:r>
        <w:rPr>
          <w:rFonts w:ascii="仿宋_GB2312" w:hAnsi="仿宋_GB2312" w:cs="仿宋_GB2312"/>
          <w:color w:val="000000"/>
          <w:kern w:val="0"/>
          <w:sz w:val="28"/>
          <w:szCs w:val="28"/>
        </w:rPr>
        <w:t>11</w:t>
      </w:r>
      <w:r>
        <w:rPr>
          <w:rFonts w:hint="eastAsia" w:ascii="仿宋_GB2312" w:hAnsi="仿宋_GB2312" w:cs="仿宋_GB2312"/>
          <w:color w:val="000000"/>
          <w:kern w:val="0"/>
          <w:sz w:val="28"/>
          <w:szCs w:val="28"/>
        </w:rPr>
        <w:t>个，局属二级机构</w:t>
      </w:r>
      <w:r>
        <w:rPr>
          <w:rFonts w:ascii="仿宋_GB2312" w:hAnsi="仿宋_GB2312" w:cs="仿宋_GB2312"/>
          <w:color w:val="000000"/>
          <w:kern w:val="0"/>
          <w:sz w:val="28"/>
          <w:szCs w:val="28"/>
        </w:rPr>
        <w:t>3</w:t>
      </w:r>
      <w:r>
        <w:rPr>
          <w:rFonts w:hint="eastAsia" w:ascii="仿宋_GB2312" w:hAnsi="仿宋_GB2312" w:cs="仿宋_GB2312"/>
          <w:color w:val="000000"/>
          <w:kern w:val="0"/>
          <w:sz w:val="28"/>
          <w:szCs w:val="28"/>
        </w:rPr>
        <w:t>个。全部纳入</w:t>
      </w:r>
      <w:r>
        <w:rPr>
          <w:rFonts w:ascii="仿宋_GB2312" w:hAnsi="仿宋_GB2312" w:cs="仿宋_GB2312"/>
          <w:color w:val="000000"/>
          <w:kern w:val="0"/>
          <w:sz w:val="28"/>
          <w:szCs w:val="28"/>
        </w:rPr>
        <w:t>2021</w:t>
      </w:r>
      <w:r>
        <w:rPr>
          <w:rFonts w:hint="eastAsia" w:ascii="仿宋_GB2312" w:hAnsi="仿宋_GB2312" w:cs="仿宋_GB2312"/>
          <w:color w:val="000000"/>
          <w:kern w:val="0"/>
          <w:sz w:val="28"/>
          <w:szCs w:val="28"/>
        </w:rPr>
        <w:t>年部门预算编制范围。</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内设股室分别是办公室、人事股、政策法规股、财务股、发展规划股、乡村产业发展股、市场与信息化股、科技教育股、农业资源保护与利用股、农产品质量安全监管股、种植业管理股、种业管理股、农田建设与农垦股、畜牧水产管理股、农业机械化管理股、农村合作经济指导股、农村社会事业促进股。</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所属事业单位分别是沅江市农业资源与环境保护工作站、沅江市种子技术服务和备荒种子储备中心、沅江市园艺示范场、沅江市土壤肥料工作站、沅江市植保植检站、沅江市农业综合服务中心、沅江市现代农业产业服务中心、沅江市渔业事务中心、沅江市农民素质教育服务中心、沅江市农业项目事务中心、沅江市农产品质量安全检测中心。</w:t>
      </w:r>
    </w:p>
    <w:p>
      <w:pPr>
        <w:widowControl/>
        <w:shd w:val="clear" w:color="auto" w:fill="FFFFFF"/>
        <w:spacing w:before="100" w:after="100" w:line="560" w:lineRule="atLeast"/>
        <w:ind w:firstLine="560" w:firstLineChars="20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二级机构分别是沅江市农村经济经营服务站、沅江市农机事务中心、沅江市农业综合行政执法大队。</w:t>
      </w:r>
    </w:p>
    <w:p>
      <w:pPr>
        <w:widowControl/>
        <w:spacing w:line="600" w:lineRule="exact"/>
        <w:rPr>
          <w:rFonts w:ascii="宋体"/>
          <w:bCs/>
          <w:kern w:val="0"/>
          <w:sz w:val="32"/>
          <w:szCs w:val="32"/>
        </w:rPr>
      </w:pPr>
    </w:p>
    <w:p>
      <w:pPr>
        <w:widowControl/>
        <w:numPr>
          <w:ilvl w:val="0"/>
          <w:numId w:val="2"/>
        </w:numPr>
        <w:spacing w:line="600" w:lineRule="exact"/>
        <w:rPr>
          <w:rFonts w:ascii="宋体"/>
          <w:bCs/>
          <w:kern w:val="0"/>
          <w:sz w:val="32"/>
          <w:szCs w:val="32"/>
        </w:rPr>
      </w:pPr>
      <w:r>
        <w:rPr>
          <w:rFonts w:hint="eastAsia" w:ascii="宋体" w:hAnsi="宋体"/>
          <w:bCs/>
          <w:kern w:val="0"/>
          <w:sz w:val="32"/>
          <w:szCs w:val="32"/>
        </w:rPr>
        <w:t>决算单位构成。</w:t>
      </w:r>
    </w:p>
    <w:p>
      <w:pPr>
        <w:widowControl/>
        <w:spacing w:line="600" w:lineRule="exact"/>
        <w:ind w:firstLine="640" w:firstLineChars="200"/>
        <w:rPr>
          <w:rFonts w:ascii="宋体"/>
          <w:bCs/>
          <w:kern w:val="0"/>
          <w:sz w:val="32"/>
          <w:szCs w:val="32"/>
        </w:rPr>
      </w:pPr>
      <w:r>
        <w:rPr>
          <w:rFonts w:hint="eastAsia" w:ascii="宋体" w:hAnsi="宋体"/>
          <w:bCs/>
          <w:kern w:val="0"/>
          <w:sz w:val="32"/>
          <w:szCs w:val="32"/>
        </w:rPr>
        <w:t>沅江市农业农村局</w:t>
      </w:r>
      <w:r>
        <w:rPr>
          <w:rFonts w:ascii="宋体" w:hAnsi="宋体"/>
          <w:bCs/>
          <w:kern w:val="0"/>
          <w:sz w:val="32"/>
          <w:szCs w:val="32"/>
        </w:rPr>
        <w:t>2021</w:t>
      </w:r>
      <w:r>
        <w:rPr>
          <w:rFonts w:hint="eastAsia" w:ascii="宋体" w:hAnsi="宋体"/>
          <w:bCs/>
          <w:kern w:val="0"/>
          <w:sz w:val="32"/>
          <w:szCs w:val="32"/>
        </w:rPr>
        <w:t>年部门决算汇总公开单位构成</w:t>
      </w:r>
      <w:r>
        <w:rPr>
          <w:rFonts w:hint="eastAsia" w:ascii="宋体" w:hAnsi="宋体"/>
          <w:bCs/>
          <w:kern w:val="0"/>
          <w:sz w:val="32"/>
          <w:szCs w:val="32"/>
          <w:lang w:val="en-US" w:eastAsia="zh-CN"/>
        </w:rPr>
        <w:t>为</w:t>
      </w:r>
      <w:r>
        <w:rPr>
          <w:rFonts w:hint="eastAsia" w:ascii="宋体" w:hAnsi="宋体"/>
          <w:bCs/>
          <w:kern w:val="0"/>
          <w:sz w:val="32"/>
          <w:szCs w:val="32"/>
        </w:rPr>
        <w:t>沅江市农业农村局本级。</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rPr>
          <w:sz w:val="72"/>
          <w:szCs w:val="72"/>
        </w:rPr>
      </w:pPr>
    </w:p>
    <w:p>
      <w:pPr>
        <w:jc w:val="center"/>
        <w:rPr>
          <w:sz w:val="72"/>
          <w:szCs w:val="72"/>
        </w:rPr>
      </w:pPr>
    </w:p>
    <w:p>
      <w:pPr>
        <w:jc w:val="left"/>
        <w:rPr>
          <w:rFonts w:ascii="宋体"/>
          <w:sz w:val="32"/>
          <w:szCs w:val="32"/>
        </w:rPr>
        <w:sectPr>
          <w:pgSz w:w="11906" w:h="16838"/>
          <w:pgMar w:top="720" w:right="720" w:bottom="720" w:left="720" w:header="851" w:footer="992" w:gutter="0"/>
          <w:cols w:space="425" w:num="1"/>
          <w:docGrid w:type="lines" w:linePitch="312" w:charSpace="0"/>
        </w:sectPr>
      </w:pPr>
    </w:p>
    <w:tbl>
      <w:tblPr>
        <w:tblStyle w:val="7"/>
        <w:tblW w:w="14070" w:type="dxa"/>
        <w:tblInd w:w="93" w:type="dxa"/>
        <w:tblLayout w:type="autofit"/>
        <w:tblCellMar>
          <w:top w:w="0" w:type="dxa"/>
          <w:left w:w="108" w:type="dxa"/>
          <w:bottom w:w="0" w:type="dxa"/>
          <w:right w:w="108" w:type="dxa"/>
        </w:tblCellMar>
      </w:tblPr>
      <w:tblGrid>
        <w:gridCol w:w="4388"/>
        <w:gridCol w:w="777"/>
        <w:gridCol w:w="1819"/>
        <w:gridCol w:w="5006"/>
        <w:gridCol w:w="735"/>
        <w:gridCol w:w="1356"/>
      </w:tblGrid>
      <w:tr>
        <w:tblPrEx>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widowControl/>
              <w:jc w:val="center"/>
              <w:textAlignment w:val="bottom"/>
              <w:rPr>
                <w:rFonts w:ascii="宋体" w:cs="宋体"/>
                <w:color w:val="000000"/>
                <w:sz w:val="30"/>
                <w:szCs w:val="30"/>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部门：沅江市农业农村局</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08" w:hRule="atLeast"/>
        </w:trPr>
        <w:tc>
          <w:tcPr>
            <w:tcW w:w="71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收入</w:t>
            </w:r>
          </w:p>
        </w:tc>
        <w:tc>
          <w:tcPr>
            <w:tcW w:w="690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行次</w:t>
            </w:r>
          </w:p>
        </w:tc>
        <w:tc>
          <w:tcPr>
            <w:tcW w:w="15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决算数</w:t>
            </w:r>
          </w:p>
        </w:tc>
        <w:tc>
          <w:tcPr>
            <w:tcW w:w="450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5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450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15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16,034.41</w:t>
            </w: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47.50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15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1,138.00</w:t>
            </w: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33</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34</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36</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37</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38</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15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5,635.05</w:t>
            </w: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39</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40</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3,076.20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17,599.61</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44</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45</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46</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48</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49</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51</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52</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53</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55</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56</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57</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w:t>
            </w:r>
          </w:p>
        </w:tc>
        <w:tc>
          <w:tcPr>
            <w:tcW w:w="15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22,807.46</w:t>
            </w:r>
          </w:p>
        </w:tc>
        <w:tc>
          <w:tcPr>
            <w:tcW w:w="450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58</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22,226.79</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59</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w:t>
            </w:r>
          </w:p>
        </w:tc>
        <w:tc>
          <w:tcPr>
            <w:tcW w:w="15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3,311.64</w:t>
            </w:r>
          </w:p>
        </w:tc>
        <w:tc>
          <w:tcPr>
            <w:tcW w:w="4503"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60</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3,892.30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w:t>
            </w:r>
          </w:p>
        </w:tc>
        <w:tc>
          <w:tcPr>
            <w:tcW w:w="1545" w:type="dxa"/>
            <w:tcBorders>
              <w:top w:val="nil"/>
              <w:left w:val="nil"/>
              <w:bottom w:val="single" w:color="000000" w:sz="4" w:space="0"/>
              <w:right w:val="single" w:color="000000" w:sz="4" w:space="0"/>
            </w:tcBorders>
            <w:noWrap/>
            <w:vAlign w:val="center"/>
          </w:tcPr>
          <w:p>
            <w:pPr>
              <w:jc w:val="center"/>
              <w:rPr>
                <w:rFonts w:ascii="宋体" w:cs="宋体"/>
                <w:color w:val="000000"/>
                <w:sz w:val="20"/>
                <w:szCs w:val="20"/>
              </w:rPr>
            </w:pPr>
          </w:p>
        </w:tc>
        <w:tc>
          <w:tcPr>
            <w:tcW w:w="4503" w:type="dxa"/>
            <w:tcBorders>
              <w:top w:val="nil"/>
              <w:left w:val="nil"/>
              <w:bottom w:val="single" w:color="000000" w:sz="4" w:space="0"/>
              <w:right w:val="single" w:color="000000" w:sz="4" w:space="0"/>
            </w:tcBorders>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61</w:t>
            </w:r>
          </w:p>
        </w:tc>
        <w:tc>
          <w:tcPr>
            <w:tcW w:w="0" w:type="auto"/>
            <w:tcBorders>
              <w:top w:val="nil"/>
              <w:left w:val="nil"/>
              <w:bottom w:val="single" w:color="000000" w:sz="4" w:space="0"/>
              <w:right w:val="single" w:color="000000" w:sz="4" w:space="0"/>
            </w:tcBorders>
            <w:noWrap/>
            <w:vAlign w:val="center"/>
          </w:tcPr>
          <w:p>
            <w:pPr>
              <w:jc w:val="center"/>
              <w:rPr>
                <w:rFonts w:ascii="宋体" w:cs="宋体"/>
                <w:color w:val="000000"/>
                <w:sz w:val="20"/>
                <w:szCs w:val="20"/>
              </w:rPr>
            </w:pPr>
          </w:p>
        </w:tc>
      </w:tr>
      <w:tr>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31</w:t>
            </w:r>
          </w:p>
        </w:tc>
        <w:tc>
          <w:tcPr>
            <w:tcW w:w="1545"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26,119.10</w:t>
            </w:r>
          </w:p>
        </w:tc>
        <w:tc>
          <w:tcPr>
            <w:tcW w:w="450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26,119.10</w:t>
            </w:r>
          </w:p>
        </w:tc>
      </w:tr>
    </w:tbl>
    <w:p/>
    <w:p>
      <w:r>
        <w:rPr>
          <w:rFonts w:hint="eastAsia"/>
        </w:rPr>
        <w:t>注：</w:t>
      </w:r>
      <w:r>
        <w:t>1.</w:t>
      </w:r>
      <w:r>
        <w:rPr>
          <w:rFonts w:hint="eastAsia"/>
        </w:rPr>
        <w:t>本表反映部门本年度的总收支和年末结转结余情况。</w:t>
      </w:r>
    </w:p>
    <w:p>
      <w:pPr>
        <w:sectPr>
          <w:pgSz w:w="16838" w:h="11906" w:orient="landscape"/>
          <w:pgMar w:top="1797" w:right="1440" w:bottom="1797" w:left="1440" w:header="851" w:footer="992" w:gutter="0"/>
          <w:cols w:space="425" w:num="1"/>
          <w:docGrid w:type="linesAndChars" w:linePitch="312" w:charSpace="0"/>
        </w:sectPr>
      </w:pPr>
      <w:r>
        <w:t>2.</w:t>
      </w:r>
      <w:r>
        <w:rPr>
          <w:rFonts w:hint="eastAsia"/>
        </w:rPr>
        <w:t>本套报表金额单位转换时可能存在尾数误差。</w:t>
      </w:r>
    </w:p>
    <w:tbl>
      <w:tblPr>
        <w:tblStyle w:val="7"/>
        <w:tblW w:w="14703" w:type="dxa"/>
        <w:tblInd w:w="91" w:type="dxa"/>
        <w:tblLayout w:type="fixed"/>
        <w:tblCellMar>
          <w:top w:w="0" w:type="dxa"/>
          <w:left w:w="108" w:type="dxa"/>
          <w:bottom w:w="0" w:type="dxa"/>
          <w:right w:w="108" w:type="dxa"/>
        </w:tblCellMar>
      </w:tblPr>
      <w:tblGrid>
        <w:gridCol w:w="603"/>
        <w:gridCol w:w="750"/>
        <w:gridCol w:w="562"/>
        <w:gridCol w:w="3160"/>
        <w:gridCol w:w="1622"/>
        <w:gridCol w:w="1640"/>
        <w:gridCol w:w="1219"/>
        <w:gridCol w:w="1275"/>
        <w:gridCol w:w="1153"/>
        <w:gridCol w:w="1331"/>
        <w:gridCol w:w="1388"/>
      </w:tblGrid>
      <w:tr>
        <w:tblPrEx>
          <w:tblCellMar>
            <w:top w:w="0" w:type="dxa"/>
            <w:left w:w="108" w:type="dxa"/>
            <w:bottom w:w="0" w:type="dxa"/>
            <w:right w:w="108" w:type="dxa"/>
          </w:tblCellMar>
        </w:tblPrEx>
        <w:trPr>
          <w:trHeight w:val="390" w:hRule="atLeast"/>
        </w:trPr>
        <w:tc>
          <w:tcPr>
            <w:tcW w:w="14703" w:type="dxa"/>
            <w:gridSpan w:val="11"/>
            <w:tcBorders>
              <w:top w:val="nil"/>
              <w:left w:val="nil"/>
              <w:bottom w:val="nil"/>
              <w:right w:val="nil"/>
            </w:tcBorders>
            <w:noWrap/>
            <w:vAlign w:val="bottom"/>
          </w:tcPr>
          <w:p>
            <w:pPr>
              <w:widowControl/>
              <w:jc w:val="center"/>
              <w:textAlignment w:val="bottom"/>
              <w:rPr>
                <w:rFonts w:ascii="宋体" w:cs="宋体"/>
                <w:color w:val="000000"/>
                <w:sz w:val="30"/>
                <w:szCs w:val="30"/>
              </w:rPr>
            </w:pPr>
            <w:r>
              <w:rPr>
                <w:rFonts w:hint="eastAsia" w:ascii="华文中宋" w:hAnsi="华文中宋" w:eastAsia="华文中宋"/>
                <w:color w:val="000000"/>
                <w:sz w:val="32"/>
                <w:szCs w:val="32"/>
              </w:rPr>
              <w:t>收入决算表</w:t>
            </w:r>
          </w:p>
        </w:tc>
      </w:tr>
      <w:tr>
        <w:tblPrEx>
          <w:tblCellMar>
            <w:top w:w="0" w:type="dxa"/>
            <w:left w:w="108" w:type="dxa"/>
            <w:bottom w:w="0" w:type="dxa"/>
            <w:right w:w="108" w:type="dxa"/>
          </w:tblCellMar>
        </w:tblPrEx>
        <w:trPr>
          <w:trHeight w:val="255" w:hRule="atLeast"/>
        </w:trPr>
        <w:tc>
          <w:tcPr>
            <w:tcW w:w="603" w:type="dxa"/>
            <w:tcBorders>
              <w:top w:val="nil"/>
              <w:left w:val="nil"/>
              <w:bottom w:val="nil"/>
              <w:right w:val="nil"/>
            </w:tcBorders>
            <w:noWrap/>
            <w:vAlign w:val="bottom"/>
          </w:tcPr>
          <w:p>
            <w:pPr>
              <w:rPr>
                <w:rFonts w:ascii="Arial" w:hAnsi="Arial" w:cs="Arial"/>
                <w:color w:val="000000"/>
                <w:sz w:val="20"/>
                <w:szCs w:val="20"/>
              </w:rPr>
            </w:pPr>
          </w:p>
        </w:tc>
        <w:tc>
          <w:tcPr>
            <w:tcW w:w="750" w:type="dxa"/>
            <w:tcBorders>
              <w:top w:val="nil"/>
              <w:left w:val="nil"/>
              <w:bottom w:val="nil"/>
              <w:right w:val="nil"/>
            </w:tcBorders>
            <w:noWrap/>
            <w:vAlign w:val="bottom"/>
          </w:tcPr>
          <w:p>
            <w:pPr>
              <w:rPr>
                <w:rFonts w:ascii="Arial" w:hAnsi="Arial" w:cs="Arial"/>
                <w:color w:val="000000"/>
                <w:sz w:val="20"/>
                <w:szCs w:val="20"/>
              </w:rPr>
            </w:pPr>
          </w:p>
        </w:tc>
        <w:tc>
          <w:tcPr>
            <w:tcW w:w="562" w:type="dxa"/>
            <w:tcBorders>
              <w:top w:val="nil"/>
              <w:left w:val="nil"/>
              <w:bottom w:val="nil"/>
              <w:right w:val="nil"/>
            </w:tcBorders>
            <w:noWrap/>
            <w:vAlign w:val="bottom"/>
          </w:tcPr>
          <w:p>
            <w:pPr>
              <w:rPr>
                <w:rFonts w:ascii="Arial" w:hAnsi="Arial" w:cs="Arial"/>
                <w:color w:val="000000"/>
                <w:sz w:val="20"/>
                <w:szCs w:val="20"/>
              </w:rPr>
            </w:pPr>
          </w:p>
        </w:tc>
        <w:tc>
          <w:tcPr>
            <w:tcW w:w="3160" w:type="dxa"/>
            <w:tcBorders>
              <w:top w:val="nil"/>
              <w:left w:val="nil"/>
              <w:bottom w:val="nil"/>
              <w:right w:val="nil"/>
            </w:tcBorders>
            <w:noWrap/>
            <w:vAlign w:val="bottom"/>
          </w:tcPr>
          <w:p>
            <w:pPr>
              <w:rPr>
                <w:rFonts w:ascii="Arial" w:hAnsi="Arial" w:cs="Arial"/>
                <w:color w:val="000000"/>
                <w:sz w:val="20"/>
                <w:szCs w:val="20"/>
              </w:rPr>
            </w:pPr>
          </w:p>
        </w:tc>
        <w:tc>
          <w:tcPr>
            <w:tcW w:w="1622" w:type="dxa"/>
            <w:tcBorders>
              <w:top w:val="nil"/>
              <w:left w:val="nil"/>
              <w:bottom w:val="nil"/>
              <w:right w:val="nil"/>
            </w:tcBorders>
            <w:noWrap/>
            <w:vAlign w:val="bottom"/>
          </w:tcPr>
          <w:p>
            <w:pPr>
              <w:rPr>
                <w:rFonts w:ascii="Arial" w:hAnsi="Arial" w:cs="Arial"/>
                <w:color w:val="000000"/>
                <w:sz w:val="20"/>
                <w:szCs w:val="20"/>
              </w:rPr>
            </w:pPr>
          </w:p>
        </w:tc>
        <w:tc>
          <w:tcPr>
            <w:tcW w:w="1640" w:type="dxa"/>
            <w:tcBorders>
              <w:top w:val="nil"/>
              <w:left w:val="nil"/>
              <w:bottom w:val="nil"/>
              <w:right w:val="nil"/>
            </w:tcBorders>
            <w:noWrap/>
            <w:vAlign w:val="bottom"/>
          </w:tcPr>
          <w:p>
            <w:pPr>
              <w:rPr>
                <w:rFonts w:ascii="Arial" w:hAnsi="Arial" w:cs="Arial"/>
                <w:color w:val="000000"/>
                <w:sz w:val="20"/>
                <w:szCs w:val="20"/>
              </w:rPr>
            </w:pPr>
          </w:p>
        </w:tc>
        <w:tc>
          <w:tcPr>
            <w:tcW w:w="1219" w:type="dxa"/>
            <w:tcBorders>
              <w:top w:val="nil"/>
              <w:left w:val="nil"/>
              <w:bottom w:val="nil"/>
              <w:right w:val="nil"/>
            </w:tcBorders>
            <w:noWrap/>
            <w:vAlign w:val="bottom"/>
          </w:tcPr>
          <w:p>
            <w:pPr>
              <w:rPr>
                <w:rFonts w:ascii="Arial" w:hAnsi="Arial" w:cs="Arial"/>
                <w:color w:val="000000"/>
                <w:sz w:val="20"/>
                <w:szCs w:val="20"/>
              </w:rPr>
            </w:pPr>
          </w:p>
        </w:tc>
        <w:tc>
          <w:tcPr>
            <w:tcW w:w="1275" w:type="dxa"/>
            <w:tcBorders>
              <w:top w:val="nil"/>
              <w:left w:val="nil"/>
              <w:bottom w:val="nil"/>
              <w:right w:val="nil"/>
            </w:tcBorders>
            <w:noWrap/>
            <w:vAlign w:val="bottom"/>
          </w:tcPr>
          <w:p>
            <w:pPr>
              <w:rPr>
                <w:rFonts w:ascii="Arial" w:hAnsi="Arial" w:cs="Arial"/>
                <w:color w:val="000000"/>
                <w:sz w:val="20"/>
                <w:szCs w:val="20"/>
              </w:rPr>
            </w:pPr>
          </w:p>
        </w:tc>
        <w:tc>
          <w:tcPr>
            <w:tcW w:w="1153" w:type="dxa"/>
            <w:tcBorders>
              <w:top w:val="nil"/>
              <w:left w:val="nil"/>
              <w:bottom w:val="nil"/>
              <w:right w:val="nil"/>
            </w:tcBorders>
            <w:noWrap/>
            <w:vAlign w:val="bottom"/>
          </w:tcPr>
          <w:p>
            <w:pPr>
              <w:rPr>
                <w:rFonts w:ascii="Arial" w:hAnsi="Arial" w:cs="Arial"/>
                <w:color w:val="000000"/>
                <w:sz w:val="20"/>
                <w:szCs w:val="20"/>
              </w:rPr>
            </w:pPr>
          </w:p>
        </w:tc>
        <w:tc>
          <w:tcPr>
            <w:tcW w:w="1331" w:type="dxa"/>
            <w:tcBorders>
              <w:top w:val="nil"/>
              <w:left w:val="nil"/>
              <w:bottom w:val="nil"/>
              <w:right w:val="nil"/>
            </w:tcBorders>
            <w:noWrap/>
            <w:vAlign w:val="bottom"/>
          </w:tcPr>
          <w:p>
            <w:pPr>
              <w:rPr>
                <w:rFonts w:ascii="Arial" w:hAnsi="Arial" w:cs="Arial"/>
                <w:color w:val="000000"/>
                <w:sz w:val="20"/>
                <w:szCs w:val="20"/>
              </w:rPr>
            </w:pPr>
          </w:p>
        </w:tc>
        <w:tc>
          <w:tcPr>
            <w:tcW w:w="1388" w:type="dxa"/>
            <w:tcBorders>
              <w:top w:val="nil"/>
              <w:left w:val="nil"/>
              <w:bottom w:val="nil"/>
              <w:right w:val="nil"/>
            </w:tcBorders>
            <w:noWrap/>
            <w:vAlign w:val="bottom"/>
          </w:tcPr>
          <w:p>
            <w:pPr>
              <w:widowControl/>
              <w:jc w:val="right"/>
              <w:textAlignment w:val="bottom"/>
              <w:rPr>
                <w:rFonts w:ascii="宋体" w:cs="宋体"/>
                <w:color w:val="000000"/>
                <w:sz w:val="20"/>
                <w:szCs w:val="20"/>
              </w:rPr>
            </w:pPr>
            <w:r>
              <w:rPr>
                <w:rFonts w:hint="eastAsia"/>
                <w:color w:val="000000"/>
                <w:sz w:val="20"/>
                <w:szCs w:val="20"/>
              </w:rPr>
              <w:t>公开</w:t>
            </w:r>
            <w:r>
              <w:rPr>
                <w:color w:val="000000"/>
                <w:sz w:val="20"/>
                <w:szCs w:val="20"/>
              </w:rPr>
              <w:t>02</w:t>
            </w:r>
            <w:r>
              <w:rPr>
                <w:rFonts w:hint="eastAsia"/>
                <w:color w:val="000000"/>
                <w:sz w:val="20"/>
                <w:szCs w:val="20"/>
              </w:rPr>
              <w:t>表</w:t>
            </w:r>
          </w:p>
        </w:tc>
      </w:tr>
      <w:tr>
        <w:tblPrEx>
          <w:tblCellMar>
            <w:top w:w="0" w:type="dxa"/>
            <w:left w:w="108" w:type="dxa"/>
            <w:bottom w:w="0" w:type="dxa"/>
            <w:right w:w="108" w:type="dxa"/>
          </w:tblCellMar>
        </w:tblPrEx>
        <w:trPr>
          <w:trHeight w:val="255" w:hRule="atLeast"/>
        </w:trPr>
        <w:tc>
          <w:tcPr>
            <w:tcW w:w="5075" w:type="dxa"/>
            <w:gridSpan w:val="4"/>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rPr>
              <w:t>部门：沅江市农业农村局</w:t>
            </w:r>
          </w:p>
        </w:tc>
        <w:tc>
          <w:tcPr>
            <w:tcW w:w="1622" w:type="dxa"/>
            <w:tcBorders>
              <w:top w:val="nil"/>
              <w:left w:val="nil"/>
              <w:bottom w:val="nil"/>
              <w:right w:val="nil"/>
            </w:tcBorders>
            <w:noWrap/>
            <w:vAlign w:val="bottom"/>
          </w:tcPr>
          <w:p>
            <w:pPr>
              <w:rPr>
                <w:rFonts w:ascii="Arial" w:hAnsi="Arial" w:cs="Arial"/>
                <w:color w:val="000000"/>
                <w:sz w:val="20"/>
                <w:szCs w:val="20"/>
              </w:rPr>
            </w:pPr>
          </w:p>
        </w:tc>
        <w:tc>
          <w:tcPr>
            <w:tcW w:w="1640" w:type="dxa"/>
            <w:tcBorders>
              <w:top w:val="nil"/>
              <w:left w:val="nil"/>
              <w:bottom w:val="nil"/>
              <w:right w:val="nil"/>
            </w:tcBorders>
            <w:noWrap/>
            <w:vAlign w:val="bottom"/>
          </w:tcPr>
          <w:p>
            <w:pPr>
              <w:rPr>
                <w:rFonts w:ascii="Arial" w:hAnsi="Arial" w:cs="Arial"/>
                <w:color w:val="000000"/>
                <w:sz w:val="20"/>
                <w:szCs w:val="20"/>
              </w:rPr>
            </w:pPr>
          </w:p>
        </w:tc>
        <w:tc>
          <w:tcPr>
            <w:tcW w:w="1219" w:type="dxa"/>
            <w:tcBorders>
              <w:top w:val="nil"/>
              <w:left w:val="nil"/>
              <w:bottom w:val="nil"/>
              <w:right w:val="nil"/>
            </w:tcBorders>
            <w:noWrap/>
            <w:vAlign w:val="bottom"/>
          </w:tcPr>
          <w:p>
            <w:pPr>
              <w:rPr>
                <w:rFonts w:ascii="Arial" w:hAnsi="Arial" w:cs="Arial"/>
                <w:color w:val="000000"/>
                <w:sz w:val="20"/>
                <w:szCs w:val="20"/>
              </w:rPr>
            </w:pPr>
          </w:p>
        </w:tc>
        <w:tc>
          <w:tcPr>
            <w:tcW w:w="1275" w:type="dxa"/>
            <w:tcBorders>
              <w:top w:val="nil"/>
              <w:left w:val="nil"/>
              <w:bottom w:val="nil"/>
              <w:right w:val="nil"/>
            </w:tcBorders>
            <w:noWrap/>
            <w:vAlign w:val="bottom"/>
          </w:tcPr>
          <w:p>
            <w:pPr>
              <w:rPr>
                <w:rFonts w:ascii="Arial" w:hAnsi="Arial" w:cs="Arial"/>
                <w:color w:val="000000"/>
                <w:sz w:val="20"/>
                <w:szCs w:val="20"/>
              </w:rPr>
            </w:pPr>
          </w:p>
        </w:tc>
        <w:tc>
          <w:tcPr>
            <w:tcW w:w="1153" w:type="dxa"/>
            <w:tcBorders>
              <w:top w:val="nil"/>
              <w:left w:val="nil"/>
              <w:bottom w:val="nil"/>
              <w:right w:val="nil"/>
            </w:tcBorders>
            <w:noWrap/>
            <w:vAlign w:val="bottom"/>
          </w:tcPr>
          <w:p>
            <w:pPr>
              <w:rPr>
                <w:rFonts w:ascii="Arial" w:hAnsi="Arial" w:cs="Arial"/>
                <w:color w:val="000000"/>
                <w:sz w:val="20"/>
                <w:szCs w:val="20"/>
              </w:rPr>
            </w:pPr>
          </w:p>
        </w:tc>
        <w:tc>
          <w:tcPr>
            <w:tcW w:w="1331" w:type="dxa"/>
            <w:tcBorders>
              <w:top w:val="nil"/>
              <w:left w:val="nil"/>
              <w:bottom w:val="nil"/>
              <w:right w:val="nil"/>
            </w:tcBorders>
            <w:noWrap/>
            <w:vAlign w:val="bottom"/>
          </w:tcPr>
          <w:p>
            <w:pPr>
              <w:rPr>
                <w:rFonts w:ascii="Arial" w:hAnsi="Arial" w:cs="Arial"/>
                <w:color w:val="000000"/>
                <w:sz w:val="20"/>
                <w:szCs w:val="20"/>
              </w:rPr>
            </w:pPr>
          </w:p>
        </w:tc>
        <w:tc>
          <w:tcPr>
            <w:tcW w:w="1388" w:type="dxa"/>
            <w:tcBorders>
              <w:top w:val="nil"/>
              <w:left w:val="nil"/>
              <w:bottom w:val="nil"/>
              <w:right w:val="nil"/>
            </w:tcBorders>
            <w:noWrap/>
            <w:vAlign w:val="bottom"/>
          </w:tcPr>
          <w:p>
            <w:pPr>
              <w:widowControl/>
              <w:jc w:val="center"/>
              <w:textAlignment w:val="bottom"/>
              <w:rPr>
                <w:rFonts w:ascii="宋体" w:cs="宋体"/>
                <w:color w:val="000000"/>
                <w:sz w:val="20"/>
                <w:szCs w:val="20"/>
              </w:rPr>
            </w:pPr>
            <w:r>
              <w:rPr>
                <w:rFonts w:hint="eastAsia"/>
                <w:color w:val="000000"/>
                <w:sz w:val="20"/>
                <w:szCs w:val="20"/>
              </w:rPr>
              <w:t>单位：万元</w:t>
            </w:r>
          </w:p>
        </w:tc>
      </w:tr>
      <w:tr>
        <w:tblPrEx>
          <w:tblCellMar>
            <w:top w:w="0" w:type="dxa"/>
            <w:left w:w="108" w:type="dxa"/>
            <w:bottom w:w="0" w:type="dxa"/>
            <w:right w:w="108" w:type="dxa"/>
          </w:tblCellMar>
        </w:tblPrEx>
        <w:trPr>
          <w:trHeight w:val="312" w:hRule="atLeast"/>
        </w:trPr>
        <w:tc>
          <w:tcPr>
            <w:tcW w:w="1915"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科目编码</w:t>
            </w:r>
          </w:p>
        </w:tc>
        <w:tc>
          <w:tcPr>
            <w:tcW w:w="316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科目名称</w:t>
            </w:r>
          </w:p>
        </w:tc>
        <w:tc>
          <w:tcPr>
            <w:tcW w:w="162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本年收入合计</w:t>
            </w:r>
          </w:p>
        </w:tc>
        <w:tc>
          <w:tcPr>
            <w:tcW w:w="16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财政拨款收入</w:t>
            </w:r>
          </w:p>
        </w:tc>
        <w:tc>
          <w:tcPr>
            <w:tcW w:w="121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上级补助收入</w:t>
            </w:r>
          </w:p>
        </w:tc>
        <w:tc>
          <w:tcPr>
            <w:tcW w:w="12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事业收入</w:t>
            </w:r>
          </w:p>
        </w:tc>
        <w:tc>
          <w:tcPr>
            <w:tcW w:w="115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经营收入</w:t>
            </w:r>
          </w:p>
        </w:tc>
        <w:tc>
          <w:tcPr>
            <w:tcW w:w="133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附属单位上缴收入</w:t>
            </w:r>
          </w:p>
        </w:tc>
        <w:tc>
          <w:tcPr>
            <w:tcW w:w="138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12" w:hRule="atLeast"/>
        </w:trPr>
        <w:tc>
          <w:tcPr>
            <w:tcW w:w="191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c>
          <w:tcPr>
            <w:tcW w:w="316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000000"/>
                <w:sz w:val="22"/>
              </w:rPr>
            </w:pPr>
          </w:p>
        </w:tc>
        <w:tc>
          <w:tcPr>
            <w:tcW w:w="1622"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640"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219"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153"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331"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388"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12" w:hRule="atLeast"/>
        </w:trPr>
        <w:tc>
          <w:tcPr>
            <w:tcW w:w="191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c>
          <w:tcPr>
            <w:tcW w:w="316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000000"/>
                <w:sz w:val="22"/>
              </w:rPr>
            </w:pPr>
          </w:p>
        </w:tc>
        <w:tc>
          <w:tcPr>
            <w:tcW w:w="1622"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640"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219"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153"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331"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388"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12" w:hRule="atLeast"/>
        </w:trPr>
        <w:tc>
          <w:tcPr>
            <w:tcW w:w="191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c>
          <w:tcPr>
            <w:tcW w:w="316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000000"/>
                <w:sz w:val="22"/>
              </w:rPr>
            </w:pPr>
          </w:p>
        </w:tc>
        <w:tc>
          <w:tcPr>
            <w:tcW w:w="1622"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640"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219"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153"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331"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388"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603"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类</w:t>
            </w:r>
          </w:p>
        </w:tc>
        <w:tc>
          <w:tcPr>
            <w:tcW w:w="75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款</w:t>
            </w:r>
          </w:p>
        </w:tc>
        <w:tc>
          <w:tcPr>
            <w:tcW w:w="562"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项</w:t>
            </w:r>
          </w:p>
        </w:tc>
        <w:tc>
          <w:tcPr>
            <w:tcW w:w="316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栏次</w:t>
            </w:r>
          </w:p>
        </w:tc>
        <w:tc>
          <w:tcPr>
            <w:tcW w:w="1622"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1640"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1219"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1275"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1153"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1331"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6</w:t>
            </w:r>
          </w:p>
        </w:tc>
        <w:tc>
          <w:tcPr>
            <w:tcW w:w="1388"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r>
      <w:tr>
        <w:tblPrEx>
          <w:tblCellMar>
            <w:top w:w="0" w:type="dxa"/>
            <w:left w:w="108" w:type="dxa"/>
            <w:bottom w:w="0" w:type="dxa"/>
            <w:right w:w="108" w:type="dxa"/>
          </w:tblCellMar>
        </w:tblPrEx>
        <w:trPr>
          <w:trHeight w:val="308" w:hRule="atLeast"/>
        </w:trPr>
        <w:tc>
          <w:tcPr>
            <w:tcW w:w="603"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c>
          <w:tcPr>
            <w:tcW w:w="750" w:type="dxa"/>
            <w:vMerge w:val="continue"/>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562" w:type="dxa"/>
            <w:vMerge w:val="continue"/>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16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合计</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22,807.46</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17,172.41</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5,635.05</w:t>
            </w: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一般公共服务支出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12.13</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12.13</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20107</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税收事务</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2010799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其他税收事务支出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20132</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组织事务</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2013299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其他组织事务支出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206</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科学技术支出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20699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其他科学技术支出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2069999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其他科学技术支出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社会保障和就业支出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24.03</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24.03</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20807</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就业补助</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2080799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其他就业补助支出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抚恤</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22.56</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22.56</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2080801</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死亡抚恤</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7.31</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7.31</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2080805</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义务兵优待</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6.12</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6.12</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2080899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其他优抚支出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9.13</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9.13</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节能环保支出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3,046.20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3,046.20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21103</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污染防治</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2110399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其他污染防治支出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21104</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自然生态保护</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2,846.20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2,846.20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2110402</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农村环境保护</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2,846.20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2,846.20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212</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城乡社区支出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21208</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国有土地使用权出让收入安排的支出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2120801</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征地和拆迁补偿支出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830.00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830.00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2120804</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农村基础设施建设支出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303.00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303.00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农林水支出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18,245.64</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12,610.60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5,635.05</w:t>
            </w: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农业农村</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17,529.64</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11,894.60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5,635.05</w:t>
            </w: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2130101</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行政运行</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2,507.06</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2,409.45</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97.61</w:t>
            </w: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2130102</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一般行政管理事务</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263.83</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263.83</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2130106</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科技转化与推广服务</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57.74</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57.74</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2130108</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病虫害控制</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140.19</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140.19</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2130122</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农业生产发展</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762.00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762.00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2130124</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农村合作经济</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216.00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216.00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2130125</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农产品加工与促销</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161.54</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161.54</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2130126</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农村社会事业</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76.78</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76.78</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2130135</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农业资源保护修复与利用</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107.86</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107.86</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2130153</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农田建设</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7,221.75</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7,221.75</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2130199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其他农业农村支出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6,014.89</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477.46</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5,537.44</w:t>
            </w: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21305</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扶贫</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2130599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其他扶贫支出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220</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自然资源海洋气象等支出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22001</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自然资源事务</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2200199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其他自然资源事务支出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221</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住房保障支出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22102</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住房改革支出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2210201</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住房公积金</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229</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其他支出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22904</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其他政府性基金及对应专项债务收入安排的支出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191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2290401</w:t>
            </w:r>
          </w:p>
        </w:tc>
        <w:tc>
          <w:tcPr>
            <w:tcW w:w="3160"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其他政府性基金安排的支出</w:t>
            </w:r>
          </w:p>
        </w:tc>
        <w:tc>
          <w:tcPr>
            <w:tcW w:w="162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64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219"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2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153"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31"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38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bl>
    <w:p>
      <w:pPr>
        <w:widowControl/>
        <w:jc w:val="left"/>
        <w:rPr>
          <w:rFonts w:ascii="Times New Roman" w:hAnsi="Times New Roman" w:eastAsia="黑体"/>
          <w:bCs/>
          <w:kern w:val="0"/>
          <w:sz w:val="32"/>
          <w:szCs w:val="32"/>
        </w:rPr>
      </w:pPr>
      <w:r>
        <w:rPr>
          <w:rFonts w:ascii="Times New Roman" w:hAnsi="Times New Roman" w:eastAsia="黑体"/>
          <w:bCs/>
          <w:kern w:val="0"/>
          <w:sz w:val="32"/>
          <w:szCs w:val="32"/>
        </w:rPr>
        <w:t xml:space="preserve"> </w:t>
      </w:r>
      <w:r>
        <w:rPr>
          <w:rFonts w:hint="eastAsia"/>
        </w:rPr>
        <w:t>注：本表反映部门本年度取得的各项收入情况。</w:t>
      </w:r>
    </w:p>
    <w:p>
      <w:pPr>
        <w:widowControl/>
        <w:rPr>
          <w:rFonts w:ascii="Times New Roman" w:hAnsi="Times New Roman" w:eastAsia="方正小标宋_GBK"/>
          <w:color w:val="000000"/>
          <w:kern w:val="0"/>
          <w:sz w:val="36"/>
          <w:szCs w:val="36"/>
        </w:rPr>
      </w:pPr>
    </w:p>
    <w:tbl>
      <w:tblPr>
        <w:tblStyle w:val="7"/>
        <w:tblW w:w="14840" w:type="dxa"/>
        <w:tblInd w:w="91" w:type="dxa"/>
        <w:tblLayout w:type="fixed"/>
        <w:tblCellMar>
          <w:top w:w="0" w:type="dxa"/>
          <w:left w:w="108" w:type="dxa"/>
          <w:bottom w:w="0" w:type="dxa"/>
          <w:right w:w="108" w:type="dxa"/>
        </w:tblCellMar>
      </w:tblPr>
      <w:tblGrid>
        <w:gridCol w:w="519"/>
        <w:gridCol w:w="700"/>
        <w:gridCol w:w="616"/>
        <w:gridCol w:w="4572"/>
        <w:gridCol w:w="1599"/>
        <w:gridCol w:w="1328"/>
        <w:gridCol w:w="1413"/>
        <w:gridCol w:w="1075"/>
        <w:gridCol w:w="1066"/>
        <w:gridCol w:w="1952"/>
      </w:tblGrid>
      <w:tr>
        <w:tblPrEx>
          <w:tblCellMar>
            <w:top w:w="0" w:type="dxa"/>
            <w:left w:w="108" w:type="dxa"/>
            <w:bottom w:w="0" w:type="dxa"/>
            <w:right w:w="108" w:type="dxa"/>
          </w:tblCellMar>
        </w:tblPrEx>
        <w:trPr>
          <w:trHeight w:val="614" w:hRule="atLeast"/>
        </w:trPr>
        <w:tc>
          <w:tcPr>
            <w:tcW w:w="14840" w:type="dxa"/>
            <w:gridSpan w:val="10"/>
            <w:tcBorders>
              <w:top w:val="nil"/>
              <w:left w:val="nil"/>
              <w:bottom w:val="nil"/>
              <w:right w:val="nil"/>
            </w:tcBorders>
            <w:noWrap/>
            <w:vAlign w:val="bottom"/>
          </w:tcPr>
          <w:p>
            <w:pPr>
              <w:widowControl/>
              <w:jc w:val="center"/>
              <w:textAlignment w:val="bottom"/>
              <w:rPr>
                <w:rFonts w:ascii="宋体" w:cs="宋体"/>
                <w:color w:val="000000"/>
                <w:sz w:val="30"/>
                <w:szCs w:val="30"/>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307" w:hRule="atLeast"/>
        </w:trPr>
        <w:tc>
          <w:tcPr>
            <w:tcW w:w="519" w:type="dxa"/>
            <w:tcBorders>
              <w:top w:val="nil"/>
              <w:left w:val="nil"/>
              <w:bottom w:val="nil"/>
              <w:right w:val="nil"/>
            </w:tcBorders>
            <w:noWrap/>
            <w:vAlign w:val="bottom"/>
          </w:tcPr>
          <w:p>
            <w:pPr>
              <w:rPr>
                <w:rFonts w:ascii="Arial" w:hAnsi="Arial" w:cs="Arial"/>
                <w:color w:val="000000"/>
                <w:sz w:val="20"/>
                <w:szCs w:val="20"/>
              </w:rPr>
            </w:pPr>
          </w:p>
        </w:tc>
        <w:tc>
          <w:tcPr>
            <w:tcW w:w="700" w:type="dxa"/>
            <w:tcBorders>
              <w:top w:val="nil"/>
              <w:left w:val="nil"/>
              <w:bottom w:val="nil"/>
              <w:right w:val="nil"/>
            </w:tcBorders>
            <w:noWrap/>
            <w:vAlign w:val="bottom"/>
          </w:tcPr>
          <w:p>
            <w:pPr>
              <w:rPr>
                <w:rFonts w:ascii="Arial" w:hAnsi="Arial" w:cs="Arial"/>
                <w:color w:val="000000"/>
                <w:sz w:val="20"/>
                <w:szCs w:val="20"/>
              </w:rPr>
            </w:pPr>
          </w:p>
        </w:tc>
        <w:tc>
          <w:tcPr>
            <w:tcW w:w="616" w:type="dxa"/>
            <w:tcBorders>
              <w:top w:val="nil"/>
              <w:left w:val="nil"/>
              <w:bottom w:val="nil"/>
              <w:right w:val="nil"/>
            </w:tcBorders>
            <w:noWrap/>
            <w:vAlign w:val="bottom"/>
          </w:tcPr>
          <w:p>
            <w:pPr>
              <w:rPr>
                <w:rFonts w:ascii="Arial" w:hAnsi="Arial" w:cs="Arial"/>
                <w:color w:val="000000"/>
                <w:sz w:val="20"/>
                <w:szCs w:val="20"/>
              </w:rPr>
            </w:pPr>
          </w:p>
        </w:tc>
        <w:tc>
          <w:tcPr>
            <w:tcW w:w="4572" w:type="dxa"/>
            <w:tcBorders>
              <w:top w:val="nil"/>
              <w:left w:val="nil"/>
              <w:bottom w:val="nil"/>
              <w:right w:val="nil"/>
            </w:tcBorders>
            <w:noWrap/>
            <w:vAlign w:val="bottom"/>
          </w:tcPr>
          <w:p>
            <w:pPr>
              <w:rPr>
                <w:rFonts w:ascii="Arial" w:hAnsi="Arial" w:cs="Arial"/>
                <w:color w:val="000000"/>
                <w:sz w:val="20"/>
                <w:szCs w:val="20"/>
              </w:rPr>
            </w:pPr>
          </w:p>
        </w:tc>
        <w:tc>
          <w:tcPr>
            <w:tcW w:w="1599" w:type="dxa"/>
            <w:tcBorders>
              <w:top w:val="nil"/>
              <w:left w:val="nil"/>
              <w:bottom w:val="nil"/>
              <w:right w:val="nil"/>
            </w:tcBorders>
            <w:noWrap/>
            <w:vAlign w:val="bottom"/>
          </w:tcPr>
          <w:p>
            <w:pPr>
              <w:rPr>
                <w:rFonts w:ascii="Arial" w:hAnsi="Arial" w:cs="Arial"/>
                <w:color w:val="000000"/>
                <w:sz w:val="20"/>
                <w:szCs w:val="20"/>
              </w:rPr>
            </w:pPr>
          </w:p>
        </w:tc>
        <w:tc>
          <w:tcPr>
            <w:tcW w:w="1328" w:type="dxa"/>
            <w:tcBorders>
              <w:top w:val="nil"/>
              <w:left w:val="nil"/>
              <w:bottom w:val="nil"/>
              <w:right w:val="nil"/>
            </w:tcBorders>
            <w:noWrap/>
            <w:vAlign w:val="bottom"/>
          </w:tcPr>
          <w:p>
            <w:pPr>
              <w:rPr>
                <w:rFonts w:ascii="Arial" w:hAnsi="Arial" w:cs="Arial"/>
                <w:color w:val="000000"/>
                <w:sz w:val="20"/>
                <w:szCs w:val="20"/>
              </w:rPr>
            </w:pPr>
          </w:p>
        </w:tc>
        <w:tc>
          <w:tcPr>
            <w:tcW w:w="1413" w:type="dxa"/>
            <w:tcBorders>
              <w:top w:val="nil"/>
              <w:left w:val="nil"/>
              <w:bottom w:val="nil"/>
              <w:right w:val="nil"/>
            </w:tcBorders>
            <w:noWrap/>
            <w:vAlign w:val="bottom"/>
          </w:tcPr>
          <w:p>
            <w:pPr>
              <w:rPr>
                <w:rFonts w:ascii="Arial" w:hAnsi="Arial" w:cs="Arial"/>
                <w:color w:val="000000"/>
                <w:sz w:val="20"/>
                <w:szCs w:val="20"/>
              </w:rPr>
            </w:pPr>
          </w:p>
        </w:tc>
        <w:tc>
          <w:tcPr>
            <w:tcW w:w="1075" w:type="dxa"/>
            <w:tcBorders>
              <w:top w:val="nil"/>
              <w:left w:val="nil"/>
              <w:bottom w:val="nil"/>
              <w:right w:val="nil"/>
            </w:tcBorders>
            <w:noWrap/>
            <w:vAlign w:val="bottom"/>
          </w:tcPr>
          <w:p>
            <w:pPr>
              <w:rPr>
                <w:rFonts w:ascii="Arial" w:hAnsi="Arial" w:cs="Arial"/>
                <w:color w:val="000000"/>
                <w:sz w:val="20"/>
                <w:szCs w:val="20"/>
              </w:rPr>
            </w:pPr>
          </w:p>
        </w:tc>
        <w:tc>
          <w:tcPr>
            <w:tcW w:w="1066" w:type="dxa"/>
            <w:tcBorders>
              <w:top w:val="nil"/>
              <w:left w:val="nil"/>
              <w:bottom w:val="nil"/>
              <w:right w:val="nil"/>
            </w:tcBorders>
            <w:noWrap/>
            <w:vAlign w:val="bottom"/>
          </w:tcPr>
          <w:p>
            <w:pPr>
              <w:rPr>
                <w:rFonts w:ascii="Arial" w:hAnsi="Arial" w:cs="Arial"/>
                <w:color w:val="000000"/>
                <w:sz w:val="20"/>
                <w:szCs w:val="20"/>
              </w:rPr>
            </w:pPr>
          </w:p>
        </w:tc>
        <w:tc>
          <w:tcPr>
            <w:tcW w:w="1952" w:type="dxa"/>
            <w:tcBorders>
              <w:top w:val="nil"/>
              <w:left w:val="nil"/>
              <w:bottom w:val="nil"/>
              <w:right w:val="nil"/>
            </w:tcBorders>
            <w:noWrap/>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7" w:hRule="atLeast"/>
        </w:trPr>
        <w:tc>
          <w:tcPr>
            <w:tcW w:w="6407" w:type="dxa"/>
            <w:gridSpan w:val="4"/>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rPr>
              <w:t>部门：沅江市农业农村局</w:t>
            </w:r>
          </w:p>
        </w:tc>
        <w:tc>
          <w:tcPr>
            <w:tcW w:w="1599" w:type="dxa"/>
            <w:tcBorders>
              <w:top w:val="nil"/>
              <w:left w:val="nil"/>
              <w:bottom w:val="nil"/>
              <w:right w:val="nil"/>
            </w:tcBorders>
            <w:noWrap/>
            <w:vAlign w:val="bottom"/>
          </w:tcPr>
          <w:p>
            <w:pPr>
              <w:rPr>
                <w:rFonts w:ascii="Arial" w:hAnsi="Arial" w:cs="Arial"/>
                <w:color w:val="000000"/>
                <w:sz w:val="20"/>
                <w:szCs w:val="20"/>
              </w:rPr>
            </w:pPr>
          </w:p>
        </w:tc>
        <w:tc>
          <w:tcPr>
            <w:tcW w:w="1328" w:type="dxa"/>
            <w:tcBorders>
              <w:top w:val="nil"/>
              <w:left w:val="nil"/>
              <w:bottom w:val="nil"/>
              <w:right w:val="nil"/>
            </w:tcBorders>
            <w:noWrap/>
            <w:vAlign w:val="bottom"/>
          </w:tcPr>
          <w:p>
            <w:pPr>
              <w:rPr>
                <w:rFonts w:ascii="Arial" w:hAnsi="Arial" w:cs="Arial"/>
                <w:color w:val="000000"/>
                <w:sz w:val="20"/>
                <w:szCs w:val="20"/>
              </w:rPr>
            </w:pPr>
          </w:p>
        </w:tc>
        <w:tc>
          <w:tcPr>
            <w:tcW w:w="1413" w:type="dxa"/>
            <w:tcBorders>
              <w:top w:val="nil"/>
              <w:left w:val="nil"/>
              <w:bottom w:val="nil"/>
              <w:right w:val="nil"/>
            </w:tcBorders>
            <w:noWrap/>
            <w:vAlign w:val="bottom"/>
          </w:tcPr>
          <w:p>
            <w:pPr>
              <w:rPr>
                <w:rFonts w:ascii="Arial" w:hAnsi="Arial" w:cs="Arial"/>
                <w:color w:val="000000"/>
                <w:sz w:val="20"/>
                <w:szCs w:val="20"/>
              </w:rPr>
            </w:pPr>
          </w:p>
        </w:tc>
        <w:tc>
          <w:tcPr>
            <w:tcW w:w="1075" w:type="dxa"/>
            <w:tcBorders>
              <w:top w:val="nil"/>
              <w:left w:val="nil"/>
              <w:bottom w:val="nil"/>
              <w:right w:val="nil"/>
            </w:tcBorders>
            <w:noWrap/>
            <w:vAlign w:val="bottom"/>
          </w:tcPr>
          <w:p>
            <w:pPr>
              <w:rPr>
                <w:rFonts w:ascii="Arial" w:hAnsi="Arial" w:cs="Arial"/>
                <w:color w:val="000000"/>
                <w:sz w:val="20"/>
                <w:szCs w:val="20"/>
              </w:rPr>
            </w:pPr>
          </w:p>
        </w:tc>
        <w:tc>
          <w:tcPr>
            <w:tcW w:w="1066" w:type="dxa"/>
            <w:tcBorders>
              <w:top w:val="nil"/>
              <w:left w:val="nil"/>
              <w:bottom w:val="nil"/>
              <w:right w:val="nil"/>
            </w:tcBorders>
            <w:noWrap/>
            <w:vAlign w:val="bottom"/>
          </w:tcPr>
          <w:p>
            <w:pPr>
              <w:rPr>
                <w:rFonts w:ascii="Arial" w:hAnsi="Arial" w:cs="Arial"/>
                <w:color w:val="000000"/>
                <w:sz w:val="20"/>
                <w:szCs w:val="20"/>
              </w:rPr>
            </w:pPr>
          </w:p>
        </w:tc>
        <w:tc>
          <w:tcPr>
            <w:tcW w:w="1952" w:type="dxa"/>
            <w:tcBorders>
              <w:top w:val="nil"/>
              <w:left w:val="nil"/>
              <w:bottom w:val="nil"/>
              <w:right w:val="nil"/>
            </w:tcBorders>
            <w:noWrap/>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21" w:hRule="atLeast"/>
        </w:trPr>
        <w:tc>
          <w:tcPr>
            <w:tcW w:w="1835"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4572"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59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132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41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10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上缴上级支出</w:t>
            </w:r>
          </w:p>
        </w:tc>
        <w:tc>
          <w:tcPr>
            <w:tcW w:w="106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经营支出</w:t>
            </w:r>
          </w:p>
        </w:tc>
        <w:tc>
          <w:tcPr>
            <w:tcW w:w="195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对附属单位补助支出</w:t>
            </w:r>
          </w:p>
        </w:tc>
      </w:tr>
      <w:tr>
        <w:tblPrEx>
          <w:tblCellMar>
            <w:top w:w="0" w:type="dxa"/>
            <w:left w:w="108" w:type="dxa"/>
            <w:bottom w:w="0" w:type="dxa"/>
            <w:right w:w="108" w:type="dxa"/>
          </w:tblCellMar>
        </w:tblPrEx>
        <w:trPr>
          <w:trHeight w:val="317" w:hRule="atLeast"/>
        </w:trPr>
        <w:tc>
          <w:tcPr>
            <w:tcW w:w="183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c>
          <w:tcPr>
            <w:tcW w:w="4572"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000000"/>
                <w:sz w:val="22"/>
              </w:rPr>
            </w:pPr>
          </w:p>
        </w:tc>
        <w:tc>
          <w:tcPr>
            <w:tcW w:w="1599"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328"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413"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066"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952"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17" w:hRule="atLeast"/>
        </w:trPr>
        <w:tc>
          <w:tcPr>
            <w:tcW w:w="183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c>
          <w:tcPr>
            <w:tcW w:w="4572"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000000"/>
                <w:sz w:val="22"/>
              </w:rPr>
            </w:pPr>
          </w:p>
        </w:tc>
        <w:tc>
          <w:tcPr>
            <w:tcW w:w="1599"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328"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413"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066"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952"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17" w:hRule="atLeast"/>
        </w:trPr>
        <w:tc>
          <w:tcPr>
            <w:tcW w:w="183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c>
          <w:tcPr>
            <w:tcW w:w="4572"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cs="宋体"/>
                <w:color w:val="000000"/>
                <w:sz w:val="22"/>
              </w:rPr>
            </w:pPr>
          </w:p>
        </w:tc>
        <w:tc>
          <w:tcPr>
            <w:tcW w:w="1599"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328"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413"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066"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c>
          <w:tcPr>
            <w:tcW w:w="1952" w:type="dxa"/>
            <w:vMerge w:val="continue"/>
            <w:tcBorders>
              <w:top w:val="single" w:color="000000" w:sz="4" w:space="0"/>
              <w:left w:val="nil"/>
              <w:bottom w:val="single" w:color="000000" w:sz="4" w:space="0"/>
              <w:right w:val="single" w:color="000000" w:sz="4" w:space="0"/>
            </w:tcBorders>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17" w:hRule="atLeast"/>
        </w:trPr>
        <w:tc>
          <w:tcPr>
            <w:tcW w:w="51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类</w:t>
            </w:r>
          </w:p>
        </w:tc>
        <w:tc>
          <w:tcPr>
            <w:tcW w:w="70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款</w:t>
            </w:r>
          </w:p>
        </w:tc>
        <w:tc>
          <w:tcPr>
            <w:tcW w:w="61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项</w:t>
            </w:r>
          </w:p>
        </w:tc>
        <w:tc>
          <w:tcPr>
            <w:tcW w:w="457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栏次</w:t>
            </w:r>
          </w:p>
        </w:tc>
        <w:tc>
          <w:tcPr>
            <w:tcW w:w="1599"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1328"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1413"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1075"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1066"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1952" w:type="dxa"/>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6</w:t>
            </w:r>
          </w:p>
        </w:tc>
      </w:tr>
      <w:tr>
        <w:tblPrEx>
          <w:tblCellMar>
            <w:top w:w="0" w:type="dxa"/>
            <w:left w:w="108" w:type="dxa"/>
            <w:bottom w:w="0" w:type="dxa"/>
            <w:right w:w="108" w:type="dxa"/>
          </w:tblCellMar>
        </w:tblPrEx>
        <w:trPr>
          <w:trHeight w:val="317" w:hRule="atLeast"/>
        </w:trPr>
        <w:tc>
          <w:tcPr>
            <w:tcW w:w="519"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cs="宋体"/>
                <w:color w:val="000000"/>
                <w:sz w:val="22"/>
              </w:rPr>
            </w:pPr>
          </w:p>
        </w:tc>
        <w:tc>
          <w:tcPr>
            <w:tcW w:w="700" w:type="dxa"/>
            <w:vMerge w:val="continue"/>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616" w:type="dxa"/>
            <w:vMerge w:val="continue"/>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457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合计</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22,226.79</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2,662.18</w:t>
            </w: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19,564.62</w:t>
            </w:r>
          </w:p>
        </w:tc>
        <w:tc>
          <w:tcPr>
            <w:tcW w:w="1075" w:type="dxa"/>
            <w:tcBorders>
              <w:top w:val="nil"/>
              <w:left w:val="nil"/>
              <w:bottom w:val="single" w:color="000000" w:sz="4" w:space="0"/>
              <w:right w:val="single" w:color="000000" w:sz="4" w:space="0"/>
            </w:tcBorders>
            <w:noWrap/>
            <w:vAlign w:val="center"/>
          </w:tcPr>
          <w:p>
            <w:pPr>
              <w:jc w:val="right"/>
              <w:rPr>
                <w:rFonts w:ascii="宋体" w:cs="宋体"/>
                <w:b/>
                <w:bCs/>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b/>
                <w:bCs/>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b/>
                <w:bCs/>
                <w:color w:val="000000"/>
                <w:sz w:val="22"/>
              </w:rPr>
            </w:pPr>
          </w:p>
        </w:tc>
      </w:tr>
      <w:tr>
        <w:tblPrEx>
          <w:tblCellMar>
            <w:top w:w="0" w:type="dxa"/>
            <w:left w:w="108" w:type="dxa"/>
            <w:bottom w:w="0" w:type="dxa"/>
            <w:right w:w="108" w:type="dxa"/>
          </w:tblCellMar>
        </w:tblPrEx>
        <w:trPr>
          <w:trHeight w:val="317"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一般公共服务支出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47.50</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12.13</w:t>
            </w: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35.37</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20104</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发展与改革事务</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35.37</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35.37</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2010404</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战略规划与实施</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35.37</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35.37</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20107</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税收事务</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2010799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其他税收事务支出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20132</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组织事务</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2013299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其他组织事务支出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206</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科学技术支出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20699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其他科学技术支出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2069999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其他科学技术支出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社会保障和就业支出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24.03</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24.03</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20807</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就业补助</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2080799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其他就业补助支出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抚恤</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22.56</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22.56</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2080801</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死亡抚恤</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7.31</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7.31</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2080805</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义务兵优待</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6.12</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6.12</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2080899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其他优抚支出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9.13</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9.13</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节能环保支出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3,076.20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3,076.20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21103</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污染防治</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17"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2110399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其他污染防治支出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21104</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自然生态保护</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2,876.20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2,876.20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2110402</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农村环境保护</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2,876.20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2,876.20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212</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城乡社区支出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53"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21208</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国有土地使用权出让收入安排的支出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2120801</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征地和拆迁补偿支出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830.00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830.00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2120804</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农村基础设施建设支出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303.00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303.00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农林水支出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17,599.61</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2,507.06</w:t>
            </w: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15,092.55</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农业农村</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16,883.61</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2,507.06</w:t>
            </w: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14,376.55</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2130101</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行政运行</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2,507.06</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2,507.06</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2130102</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一般行政管理事务</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263.83</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263.83</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2130106</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科技转化与推广服务</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244.05</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244.05</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2130108</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病虫害控制</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211.04</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211.04</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农产品质量安全</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75.48</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75.48</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2130121</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农业结构调整补贴</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295.59</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295.59</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2130122</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农业生产发展</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762.00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762.00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2130124</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农村合作经济</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216.00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216.00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2130125</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农产品加工与促销</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161.54</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161.54</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2130126</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农村社会事业</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76.78</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76.78</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2130135</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农业资源保护修复与利用</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107.86</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107.86</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2130153</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农田建设</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7,221.75</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7,221.75</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2130199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其他农业农村支出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4,740.63</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4,740.63</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21305</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扶贫</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2130599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其他扶贫支出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220</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自然资源海洋气象等支出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440"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22001</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自然资源事务</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430"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2200199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其他自然资源事务支出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221</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住房保障支出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17"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22102</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住房改革支出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21"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2210201</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住房公积金</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32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41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17" w:hRule="atLeast"/>
        </w:trPr>
        <w:tc>
          <w:tcPr>
            <w:tcW w:w="1835"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229</w:t>
            </w:r>
          </w:p>
        </w:tc>
        <w:tc>
          <w:tcPr>
            <w:tcW w:w="4572"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其他支出</w:t>
            </w:r>
          </w:p>
        </w:tc>
        <w:tc>
          <w:tcPr>
            <w:tcW w:w="1599"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32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075"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000000"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624" w:hRule="atLeast"/>
        </w:trPr>
        <w:tc>
          <w:tcPr>
            <w:tcW w:w="1835" w:type="dxa"/>
            <w:gridSpan w:val="3"/>
            <w:tcBorders>
              <w:top w:val="nil"/>
              <w:left w:val="single" w:color="000000" w:sz="4" w:space="0"/>
              <w:bottom w:val="single" w:color="auto"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22904</w:t>
            </w:r>
          </w:p>
        </w:tc>
        <w:tc>
          <w:tcPr>
            <w:tcW w:w="4572" w:type="dxa"/>
            <w:tcBorders>
              <w:top w:val="nil"/>
              <w:left w:val="nil"/>
              <w:bottom w:val="single" w:color="auto"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其他政府性基金及对应专项债务收入安排的支出</w:t>
            </w:r>
          </w:p>
        </w:tc>
        <w:tc>
          <w:tcPr>
            <w:tcW w:w="1599" w:type="dxa"/>
            <w:tcBorders>
              <w:top w:val="nil"/>
              <w:left w:val="nil"/>
              <w:bottom w:val="single" w:color="auto"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328" w:type="dxa"/>
            <w:tcBorders>
              <w:top w:val="nil"/>
              <w:left w:val="nil"/>
              <w:bottom w:val="single" w:color="auto" w:sz="4" w:space="0"/>
              <w:right w:val="single" w:color="000000" w:sz="4" w:space="0"/>
            </w:tcBorders>
            <w:noWrap/>
            <w:vAlign w:val="center"/>
          </w:tcPr>
          <w:p>
            <w:pPr>
              <w:jc w:val="center"/>
              <w:rPr>
                <w:rFonts w:ascii="宋体" w:cs="宋体"/>
                <w:color w:val="000000"/>
                <w:sz w:val="22"/>
              </w:rPr>
            </w:pPr>
          </w:p>
        </w:tc>
        <w:tc>
          <w:tcPr>
            <w:tcW w:w="1413" w:type="dxa"/>
            <w:tcBorders>
              <w:top w:val="nil"/>
              <w:left w:val="nil"/>
              <w:bottom w:val="single" w:color="auto"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075" w:type="dxa"/>
            <w:tcBorders>
              <w:top w:val="nil"/>
              <w:left w:val="nil"/>
              <w:bottom w:val="single" w:color="auto" w:sz="4" w:space="0"/>
              <w:right w:val="single" w:color="000000" w:sz="4" w:space="0"/>
            </w:tcBorders>
            <w:noWrap/>
            <w:vAlign w:val="center"/>
          </w:tcPr>
          <w:p>
            <w:pPr>
              <w:jc w:val="right"/>
              <w:rPr>
                <w:rFonts w:ascii="宋体" w:cs="宋体"/>
                <w:color w:val="000000"/>
                <w:sz w:val="22"/>
              </w:rPr>
            </w:pPr>
          </w:p>
        </w:tc>
        <w:tc>
          <w:tcPr>
            <w:tcW w:w="1066" w:type="dxa"/>
            <w:tcBorders>
              <w:top w:val="nil"/>
              <w:left w:val="nil"/>
              <w:bottom w:val="single" w:color="auto" w:sz="4" w:space="0"/>
              <w:right w:val="single" w:color="000000" w:sz="4" w:space="0"/>
            </w:tcBorders>
            <w:noWrap/>
            <w:vAlign w:val="center"/>
          </w:tcPr>
          <w:p>
            <w:pPr>
              <w:jc w:val="right"/>
              <w:rPr>
                <w:rFonts w:ascii="宋体" w:cs="宋体"/>
                <w:color w:val="000000"/>
                <w:sz w:val="22"/>
              </w:rPr>
            </w:pPr>
          </w:p>
        </w:tc>
        <w:tc>
          <w:tcPr>
            <w:tcW w:w="1952" w:type="dxa"/>
            <w:tcBorders>
              <w:top w:val="nil"/>
              <w:left w:val="nil"/>
              <w:bottom w:val="single" w:color="auto" w:sz="4" w:space="0"/>
              <w:right w:val="single" w:color="000000" w:sz="4" w:space="0"/>
            </w:tcBorders>
            <w:noWrap/>
            <w:vAlign w:val="center"/>
          </w:tcPr>
          <w:p>
            <w:pPr>
              <w:jc w:val="right"/>
              <w:rPr>
                <w:rFonts w:ascii="宋体" w:cs="宋体"/>
                <w:color w:val="000000"/>
                <w:sz w:val="22"/>
              </w:rPr>
            </w:pPr>
          </w:p>
        </w:tc>
      </w:tr>
      <w:tr>
        <w:tblPrEx>
          <w:tblCellMar>
            <w:top w:w="0" w:type="dxa"/>
            <w:left w:w="108" w:type="dxa"/>
            <w:bottom w:w="0" w:type="dxa"/>
            <w:right w:w="108" w:type="dxa"/>
          </w:tblCellMar>
        </w:tblPrEx>
        <w:trPr>
          <w:trHeight w:val="341" w:hRule="atLeast"/>
        </w:trPr>
        <w:tc>
          <w:tcPr>
            <w:tcW w:w="1835" w:type="dxa"/>
            <w:gridSpan w:val="3"/>
            <w:tcBorders>
              <w:top w:val="single" w:color="auto" w:sz="4" w:space="0"/>
              <w:left w:val="single" w:color="auto" w:sz="4" w:space="0"/>
              <w:bottom w:val="single" w:color="auto"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2290401</w:t>
            </w:r>
          </w:p>
        </w:tc>
        <w:tc>
          <w:tcPr>
            <w:tcW w:w="4572" w:type="dxa"/>
            <w:tcBorders>
              <w:top w:val="single" w:color="auto" w:sz="4" w:space="0"/>
              <w:left w:val="nil"/>
              <w:bottom w:val="single" w:color="auto"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其他政府性基金安排的支出</w:t>
            </w:r>
          </w:p>
        </w:tc>
        <w:tc>
          <w:tcPr>
            <w:tcW w:w="1599"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328" w:type="dxa"/>
            <w:tcBorders>
              <w:top w:val="single" w:color="auto" w:sz="4" w:space="0"/>
              <w:left w:val="nil"/>
              <w:bottom w:val="single" w:color="auto" w:sz="4" w:space="0"/>
              <w:right w:val="single" w:color="000000" w:sz="4" w:space="0"/>
            </w:tcBorders>
            <w:noWrap/>
            <w:vAlign w:val="center"/>
          </w:tcPr>
          <w:p>
            <w:pPr>
              <w:jc w:val="center"/>
              <w:rPr>
                <w:rFonts w:ascii="宋体" w:cs="宋体"/>
                <w:color w:val="000000"/>
                <w:sz w:val="22"/>
              </w:rPr>
            </w:pPr>
          </w:p>
        </w:tc>
        <w:tc>
          <w:tcPr>
            <w:tcW w:w="1413"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075" w:type="dxa"/>
            <w:tcBorders>
              <w:top w:val="single" w:color="auto" w:sz="4" w:space="0"/>
              <w:left w:val="nil"/>
              <w:bottom w:val="single" w:color="auto" w:sz="4" w:space="0"/>
              <w:right w:val="single" w:color="000000" w:sz="4" w:space="0"/>
            </w:tcBorders>
            <w:noWrap/>
            <w:vAlign w:val="center"/>
          </w:tcPr>
          <w:p>
            <w:pPr>
              <w:jc w:val="right"/>
              <w:rPr>
                <w:rFonts w:ascii="宋体" w:cs="宋体"/>
                <w:color w:val="000000"/>
                <w:sz w:val="22"/>
              </w:rPr>
            </w:pPr>
          </w:p>
        </w:tc>
        <w:tc>
          <w:tcPr>
            <w:tcW w:w="1066" w:type="dxa"/>
            <w:tcBorders>
              <w:top w:val="single" w:color="auto" w:sz="4" w:space="0"/>
              <w:left w:val="nil"/>
              <w:bottom w:val="single" w:color="auto" w:sz="4" w:space="0"/>
              <w:right w:val="single" w:color="000000" w:sz="4" w:space="0"/>
            </w:tcBorders>
            <w:noWrap/>
            <w:vAlign w:val="center"/>
          </w:tcPr>
          <w:p>
            <w:pPr>
              <w:jc w:val="right"/>
              <w:rPr>
                <w:rFonts w:ascii="宋体" w:cs="宋体"/>
                <w:color w:val="000000"/>
                <w:sz w:val="22"/>
              </w:rPr>
            </w:pPr>
          </w:p>
        </w:tc>
        <w:tc>
          <w:tcPr>
            <w:tcW w:w="1952" w:type="dxa"/>
            <w:tcBorders>
              <w:top w:val="single" w:color="auto" w:sz="4" w:space="0"/>
              <w:left w:val="nil"/>
              <w:bottom w:val="single" w:color="auto" w:sz="4" w:space="0"/>
              <w:right w:val="single" w:color="auto" w:sz="4" w:space="0"/>
            </w:tcBorders>
            <w:noWrap/>
            <w:vAlign w:val="center"/>
          </w:tcPr>
          <w:p>
            <w:pPr>
              <w:jc w:val="right"/>
              <w:rPr>
                <w:rFonts w:ascii="宋体" w:cs="宋体"/>
                <w:color w:val="000000"/>
                <w:sz w:val="22"/>
              </w:rPr>
            </w:pPr>
          </w:p>
        </w:tc>
      </w:tr>
    </w:tbl>
    <w:p>
      <w:pPr>
        <w:widowControl/>
        <w:rPr>
          <w:rFonts w:ascii="Times New Roman" w:hAnsi="Times New Roman" w:eastAsia="方正小标宋_GBK"/>
          <w:color w:val="000000"/>
          <w:kern w:val="0"/>
          <w:sz w:val="36"/>
          <w:szCs w:val="21"/>
        </w:rPr>
      </w:pPr>
      <w:r>
        <w:rPr>
          <w:rFonts w:hint="eastAsia" w:ascii="宋体" w:hAnsi="宋体" w:cs="宋体"/>
          <w:kern w:val="0"/>
          <w:sz w:val="24"/>
          <w:szCs w:val="24"/>
        </w:rPr>
        <w:t>注：本表反映部门本年度各项支出情况。</w:t>
      </w: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p>
      <w:pPr>
        <w:widowControl/>
        <w:ind w:left="93"/>
        <w:jc w:val="center"/>
        <w:rPr>
          <w:rFonts w:ascii="Times New Roman" w:hAnsi="Times New Roman" w:eastAsia="方正小标宋_GBK"/>
          <w:color w:val="000000"/>
          <w:kern w:val="0"/>
          <w:sz w:val="36"/>
          <w:szCs w:val="21"/>
        </w:rPr>
      </w:pPr>
    </w:p>
    <w:tbl>
      <w:tblPr>
        <w:tblStyle w:val="7"/>
        <w:tblpPr w:leftFromText="180" w:rightFromText="180" w:vertAnchor="text" w:horzAnchor="page" w:tblpX="886" w:tblpY="120"/>
        <w:tblOverlap w:val="never"/>
        <w:tblW w:w="15037" w:type="dxa"/>
        <w:tblInd w:w="0" w:type="dxa"/>
        <w:tblLayout w:type="fixed"/>
        <w:tblCellMar>
          <w:top w:w="0" w:type="dxa"/>
          <w:left w:w="108" w:type="dxa"/>
          <w:bottom w:w="0" w:type="dxa"/>
          <w:right w:w="108" w:type="dxa"/>
        </w:tblCellMar>
      </w:tblPr>
      <w:tblGrid>
        <w:gridCol w:w="2957"/>
        <w:gridCol w:w="802"/>
        <w:gridCol w:w="1247"/>
        <w:gridCol w:w="3516"/>
        <w:gridCol w:w="712"/>
        <w:gridCol w:w="1543"/>
        <w:gridCol w:w="1601"/>
        <w:gridCol w:w="1178"/>
        <w:gridCol w:w="1481"/>
      </w:tblGrid>
      <w:tr>
        <w:tblPrEx>
          <w:tblCellMar>
            <w:top w:w="0" w:type="dxa"/>
            <w:left w:w="108" w:type="dxa"/>
            <w:bottom w:w="0" w:type="dxa"/>
            <w:right w:w="108" w:type="dxa"/>
          </w:tblCellMar>
        </w:tblPrEx>
        <w:trPr>
          <w:trHeight w:val="390" w:hRule="atLeast"/>
        </w:trPr>
        <w:tc>
          <w:tcPr>
            <w:tcW w:w="15037" w:type="dxa"/>
            <w:gridSpan w:val="9"/>
            <w:tcBorders>
              <w:top w:val="nil"/>
              <w:left w:val="nil"/>
              <w:bottom w:val="nil"/>
              <w:right w:val="nil"/>
            </w:tcBorders>
            <w:noWrap/>
            <w:vAlign w:val="bottom"/>
          </w:tcPr>
          <w:p>
            <w:pPr>
              <w:widowControl/>
              <w:jc w:val="center"/>
              <w:textAlignment w:val="bottom"/>
              <w:rPr>
                <w:rFonts w:asci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2957" w:type="dxa"/>
            <w:tcBorders>
              <w:top w:val="nil"/>
              <w:left w:val="nil"/>
              <w:bottom w:val="nil"/>
              <w:right w:val="nil"/>
            </w:tcBorders>
            <w:noWrap/>
            <w:vAlign w:val="bottom"/>
          </w:tcPr>
          <w:p>
            <w:pPr>
              <w:rPr>
                <w:rFonts w:ascii="Arial" w:hAnsi="Arial" w:cs="Arial"/>
                <w:color w:val="000000"/>
                <w:sz w:val="20"/>
                <w:szCs w:val="20"/>
              </w:rPr>
            </w:pPr>
          </w:p>
        </w:tc>
        <w:tc>
          <w:tcPr>
            <w:tcW w:w="802" w:type="dxa"/>
            <w:tcBorders>
              <w:top w:val="nil"/>
              <w:left w:val="nil"/>
              <w:bottom w:val="nil"/>
              <w:right w:val="nil"/>
            </w:tcBorders>
            <w:noWrap/>
            <w:vAlign w:val="bottom"/>
          </w:tcPr>
          <w:p>
            <w:pPr>
              <w:rPr>
                <w:rFonts w:ascii="Arial" w:hAnsi="Arial" w:cs="Arial"/>
                <w:color w:val="000000"/>
                <w:sz w:val="20"/>
                <w:szCs w:val="20"/>
              </w:rPr>
            </w:pPr>
          </w:p>
        </w:tc>
        <w:tc>
          <w:tcPr>
            <w:tcW w:w="1247" w:type="dxa"/>
            <w:tcBorders>
              <w:top w:val="nil"/>
              <w:left w:val="nil"/>
              <w:bottom w:val="nil"/>
              <w:right w:val="nil"/>
            </w:tcBorders>
            <w:noWrap/>
            <w:vAlign w:val="bottom"/>
          </w:tcPr>
          <w:p>
            <w:pPr>
              <w:rPr>
                <w:rFonts w:ascii="Arial" w:hAnsi="Arial" w:cs="Arial"/>
                <w:color w:val="000000"/>
                <w:sz w:val="20"/>
                <w:szCs w:val="20"/>
              </w:rPr>
            </w:pPr>
          </w:p>
        </w:tc>
        <w:tc>
          <w:tcPr>
            <w:tcW w:w="3516" w:type="dxa"/>
            <w:tcBorders>
              <w:top w:val="nil"/>
              <w:left w:val="nil"/>
              <w:bottom w:val="nil"/>
              <w:right w:val="nil"/>
            </w:tcBorders>
            <w:noWrap/>
            <w:vAlign w:val="bottom"/>
          </w:tcPr>
          <w:p>
            <w:pPr>
              <w:rPr>
                <w:rFonts w:ascii="Arial" w:hAnsi="Arial" w:cs="Arial"/>
                <w:color w:val="000000"/>
                <w:sz w:val="20"/>
                <w:szCs w:val="20"/>
              </w:rPr>
            </w:pPr>
          </w:p>
        </w:tc>
        <w:tc>
          <w:tcPr>
            <w:tcW w:w="712" w:type="dxa"/>
            <w:tcBorders>
              <w:top w:val="nil"/>
              <w:left w:val="nil"/>
              <w:bottom w:val="nil"/>
              <w:right w:val="nil"/>
            </w:tcBorders>
            <w:noWrap/>
            <w:vAlign w:val="bottom"/>
          </w:tcPr>
          <w:p>
            <w:pPr>
              <w:rPr>
                <w:rFonts w:ascii="Arial" w:hAnsi="Arial" w:cs="Arial"/>
                <w:color w:val="000000"/>
                <w:sz w:val="20"/>
                <w:szCs w:val="20"/>
              </w:rPr>
            </w:pPr>
          </w:p>
        </w:tc>
        <w:tc>
          <w:tcPr>
            <w:tcW w:w="1543" w:type="dxa"/>
            <w:tcBorders>
              <w:top w:val="nil"/>
              <w:left w:val="nil"/>
              <w:bottom w:val="nil"/>
              <w:right w:val="nil"/>
            </w:tcBorders>
            <w:noWrap/>
            <w:vAlign w:val="bottom"/>
          </w:tcPr>
          <w:p>
            <w:pPr>
              <w:rPr>
                <w:rFonts w:ascii="Arial" w:hAnsi="Arial" w:cs="Arial"/>
                <w:color w:val="000000"/>
                <w:sz w:val="20"/>
                <w:szCs w:val="20"/>
              </w:rPr>
            </w:pPr>
          </w:p>
        </w:tc>
        <w:tc>
          <w:tcPr>
            <w:tcW w:w="1601" w:type="dxa"/>
            <w:tcBorders>
              <w:top w:val="nil"/>
              <w:left w:val="nil"/>
              <w:bottom w:val="nil"/>
              <w:right w:val="nil"/>
            </w:tcBorders>
            <w:noWrap/>
            <w:vAlign w:val="bottom"/>
          </w:tcPr>
          <w:p>
            <w:pPr>
              <w:rPr>
                <w:rFonts w:ascii="Arial" w:hAnsi="Arial" w:cs="Arial"/>
                <w:color w:val="000000"/>
                <w:sz w:val="20"/>
                <w:szCs w:val="20"/>
              </w:rPr>
            </w:pPr>
          </w:p>
        </w:tc>
        <w:tc>
          <w:tcPr>
            <w:tcW w:w="1178" w:type="dxa"/>
            <w:tcBorders>
              <w:top w:val="nil"/>
              <w:left w:val="nil"/>
              <w:bottom w:val="nil"/>
              <w:right w:val="nil"/>
            </w:tcBorders>
            <w:noWrap/>
            <w:vAlign w:val="bottom"/>
          </w:tcPr>
          <w:p>
            <w:pPr>
              <w:rPr>
                <w:rFonts w:ascii="Arial" w:hAnsi="Arial" w:cs="Arial"/>
                <w:color w:val="000000"/>
                <w:sz w:val="20"/>
                <w:szCs w:val="20"/>
              </w:rPr>
            </w:pPr>
          </w:p>
        </w:tc>
        <w:tc>
          <w:tcPr>
            <w:tcW w:w="1481" w:type="dxa"/>
            <w:tcBorders>
              <w:top w:val="nil"/>
              <w:left w:val="nil"/>
              <w:bottom w:val="nil"/>
              <w:right w:val="nil"/>
            </w:tcBorders>
            <w:noWrap/>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55" w:hRule="atLeast"/>
        </w:trPr>
        <w:tc>
          <w:tcPr>
            <w:tcW w:w="2957" w:type="dxa"/>
            <w:tcBorders>
              <w:top w:val="nil"/>
              <w:left w:val="nil"/>
              <w:bottom w:val="nil"/>
              <w:right w:val="nil"/>
            </w:tcBorders>
            <w:noWrap/>
            <w:vAlign w:val="bottom"/>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部门：沅江市农业农村局</w:t>
            </w:r>
          </w:p>
        </w:tc>
        <w:tc>
          <w:tcPr>
            <w:tcW w:w="802" w:type="dxa"/>
            <w:tcBorders>
              <w:top w:val="nil"/>
              <w:left w:val="nil"/>
              <w:bottom w:val="nil"/>
              <w:right w:val="nil"/>
            </w:tcBorders>
            <w:noWrap/>
            <w:vAlign w:val="bottom"/>
          </w:tcPr>
          <w:p>
            <w:pPr>
              <w:rPr>
                <w:rFonts w:ascii="Arial" w:hAnsi="Arial" w:cs="Arial"/>
                <w:color w:val="000000"/>
                <w:sz w:val="20"/>
                <w:szCs w:val="20"/>
              </w:rPr>
            </w:pPr>
          </w:p>
        </w:tc>
        <w:tc>
          <w:tcPr>
            <w:tcW w:w="1247" w:type="dxa"/>
            <w:tcBorders>
              <w:top w:val="nil"/>
              <w:left w:val="nil"/>
              <w:bottom w:val="nil"/>
              <w:right w:val="nil"/>
            </w:tcBorders>
            <w:noWrap/>
            <w:vAlign w:val="bottom"/>
          </w:tcPr>
          <w:p>
            <w:pPr>
              <w:rPr>
                <w:rFonts w:ascii="Arial" w:hAnsi="Arial" w:cs="Arial"/>
                <w:color w:val="000000"/>
                <w:sz w:val="20"/>
                <w:szCs w:val="20"/>
              </w:rPr>
            </w:pPr>
          </w:p>
        </w:tc>
        <w:tc>
          <w:tcPr>
            <w:tcW w:w="3516" w:type="dxa"/>
            <w:tcBorders>
              <w:top w:val="nil"/>
              <w:left w:val="nil"/>
              <w:bottom w:val="nil"/>
              <w:right w:val="nil"/>
            </w:tcBorders>
            <w:noWrap/>
            <w:vAlign w:val="bottom"/>
          </w:tcPr>
          <w:p>
            <w:pPr>
              <w:rPr>
                <w:rFonts w:ascii="Arial" w:hAnsi="Arial" w:cs="Arial"/>
                <w:color w:val="000000"/>
                <w:sz w:val="20"/>
                <w:szCs w:val="20"/>
              </w:rPr>
            </w:pPr>
          </w:p>
        </w:tc>
        <w:tc>
          <w:tcPr>
            <w:tcW w:w="712" w:type="dxa"/>
            <w:tcBorders>
              <w:top w:val="nil"/>
              <w:left w:val="nil"/>
              <w:bottom w:val="nil"/>
              <w:right w:val="nil"/>
            </w:tcBorders>
            <w:noWrap/>
            <w:vAlign w:val="bottom"/>
          </w:tcPr>
          <w:p>
            <w:pPr>
              <w:rPr>
                <w:rFonts w:ascii="Arial" w:hAnsi="Arial" w:cs="Arial"/>
                <w:color w:val="000000"/>
                <w:sz w:val="20"/>
                <w:szCs w:val="20"/>
              </w:rPr>
            </w:pPr>
          </w:p>
        </w:tc>
        <w:tc>
          <w:tcPr>
            <w:tcW w:w="1543" w:type="dxa"/>
            <w:tcBorders>
              <w:top w:val="nil"/>
              <w:left w:val="nil"/>
              <w:bottom w:val="nil"/>
              <w:right w:val="nil"/>
            </w:tcBorders>
            <w:noWrap/>
            <w:vAlign w:val="bottom"/>
          </w:tcPr>
          <w:p>
            <w:pPr>
              <w:rPr>
                <w:rFonts w:ascii="Arial" w:hAnsi="Arial" w:cs="Arial"/>
                <w:color w:val="000000"/>
                <w:sz w:val="20"/>
                <w:szCs w:val="20"/>
              </w:rPr>
            </w:pPr>
          </w:p>
        </w:tc>
        <w:tc>
          <w:tcPr>
            <w:tcW w:w="1601" w:type="dxa"/>
            <w:tcBorders>
              <w:top w:val="nil"/>
              <w:left w:val="nil"/>
              <w:bottom w:val="nil"/>
              <w:right w:val="nil"/>
            </w:tcBorders>
            <w:noWrap/>
            <w:vAlign w:val="bottom"/>
          </w:tcPr>
          <w:p>
            <w:pPr>
              <w:rPr>
                <w:rFonts w:ascii="Arial" w:hAnsi="Arial" w:cs="Arial"/>
                <w:color w:val="000000"/>
                <w:sz w:val="20"/>
                <w:szCs w:val="20"/>
              </w:rPr>
            </w:pPr>
          </w:p>
        </w:tc>
        <w:tc>
          <w:tcPr>
            <w:tcW w:w="1178" w:type="dxa"/>
            <w:tcBorders>
              <w:top w:val="nil"/>
              <w:left w:val="nil"/>
              <w:bottom w:val="nil"/>
              <w:right w:val="nil"/>
            </w:tcBorders>
            <w:noWrap/>
            <w:vAlign w:val="bottom"/>
          </w:tcPr>
          <w:p>
            <w:pPr>
              <w:rPr>
                <w:rFonts w:ascii="Arial" w:hAnsi="Arial" w:cs="Arial"/>
                <w:color w:val="000000"/>
                <w:sz w:val="20"/>
                <w:szCs w:val="20"/>
              </w:rPr>
            </w:pPr>
          </w:p>
        </w:tc>
        <w:tc>
          <w:tcPr>
            <w:tcW w:w="1481" w:type="dxa"/>
            <w:tcBorders>
              <w:top w:val="nil"/>
              <w:left w:val="nil"/>
              <w:bottom w:val="nil"/>
              <w:right w:val="nil"/>
            </w:tcBorders>
            <w:noWrap/>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08" w:hRule="atLeast"/>
        </w:trPr>
        <w:tc>
          <w:tcPr>
            <w:tcW w:w="50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收</w:t>
            </w:r>
            <w:r>
              <w:rPr>
                <w:rFonts w:ascii="宋体" w:hAnsi="宋体" w:cs="宋体"/>
                <w:color w:val="000000"/>
                <w:kern w:val="0"/>
                <w:sz w:val="22"/>
              </w:rPr>
              <w:t xml:space="preserve">     </w:t>
            </w:r>
            <w:r>
              <w:rPr>
                <w:rFonts w:hint="eastAsia" w:ascii="宋体" w:hAnsi="宋体" w:cs="宋体"/>
                <w:color w:val="000000"/>
                <w:kern w:val="0"/>
                <w:sz w:val="22"/>
              </w:rPr>
              <w:t>入</w:t>
            </w:r>
          </w:p>
        </w:tc>
        <w:tc>
          <w:tcPr>
            <w:tcW w:w="10031"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支</w:t>
            </w:r>
            <w:r>
              <w:rPr>
                <w:rFonts w:ascii="宋体" w:hAnsi="宋体" w:cs="宋体"/>
                <w:color w:val="000000"/>
                <w:kern w:val="0"/>
                <w:sz w:val="22"/>
              </w:rPr>
              <w:t xml:space="preserve">     </w:t>
            </w:r>
            <w:r>
              <w:rPr>
                <w:rFonts w:hint="eastAsia" w:ascii="宋体" w:hAnsi="宋体" w:cs="宋体"/>
                <w:color w:val="000000"/>
                <w:kern w:val="0"/>
                <w:sz w:val="22"/>
              </w:rPr>
              <w:t>出</w:t>
            </w:r>
          </w:p>
        </w:tc>
      </w:tr>
      <w:tr>
        <w:tblPrEx>
          <w:tblCellMar>
            <w:top w:w="0" w:type="dxa"/>
            <w:left w:w="108" w:type="dxa"/>
            <w:bottom w:w="0" w:type="dxa"/>
            <w:right w:w="108" w:type="dxa"/>
          </w:tblCellMar>
        </w:tblPrEx>
        <w:trPr>
          <w:trHeight w:val="312" w:hRule="atLeast"/>
        </w:trPr>
        <w:tc>
          <w:tcPr>
            <w:tcW w:w="295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项目</w:t>
            </w:r>
          </w:p>
        </w:tc>
        <w:tc>
          <w:tcPr>
            <w:tcW w:w="80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行次</w:t>
            </w:r>
          </w:p>
        </w:tc>
        <w:tc>
          <w:tcPr>
            <w:tcW w:w="124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金额</w:t>
            </w:r>
          </w:p>
        </w:tc>
        <w:tc>
          <w:tcPr>
            <w:tcW w:w="351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项目</w:t>
            </w:r>
          </w:p>
        </w:tc>
        <w:tc>
          <w:tcPr>
            <w:tcW w:w="71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行次</w:t>
            </w:r>
          </w:p>
        </w:tc>
        <w:tc>
          <w:tcPr>
            <w:tcW w:w="1543"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合计</w:t>
            </w:r>
          </w:p>
        </w:tc>
        <w:tc>
          <w:tcPr>
            <w:tcW w:w="160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一般公共预算财政拨款</w:t>
            </w:r>
          </w:p>
        </w:tc>
        <w:tc>
          <w:tcPr>
            <w:tcW w:w="117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政府性基金预算财政拨款</w:t>
            </w:r>
          </w:p>
        </w:tc>
        <w:tc>
          <w:tcPr>
            <w:tcW w:w="148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2957" w:type="dxa"/>
            <w:vMerge w:val="continue"/>
            <w:tcBorders>
              <w:top w:val="nil"/>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802"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c>
          <w:tcPr>
            <w:tcW w:w="1247"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c>
          <w:tcPr>
            <w:tcW w:w="3516"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c>
          <w:tcPr>
            <w:tcW w:w="712"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c>
          <w:tcPr>
            <w:tcW w:w="1543" w:type="dxa"/>
            <w:vMerge w:val="continue"/>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c>
          <w:tcPr>
            <w:tcW w:w="1178"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c>
          <w:tcPr>
            <w:tcW w:w="1481"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栏次</w:t>
            </w:r>
          </w:p>
        </w:tc>
        <w:tc>
          <w:tcPr>
            <w:tcW w:w="802"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247"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351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栏次</w:t>
            </w:r>
          </w:p>
        </w:tc>
        <w:tc>
          <w:tcPr>
            <w:tcW w:w="712"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160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117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148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一、一般公共预算财政拨款</w:t>
            </w: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1247"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16,034.41</w:t>
            </w: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一、一般公共服务支出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33</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47.50</w:t>
            </w:r>
          </w:p>
        </w:tc>
        <w:tc>
          <w:tcPr>
            <w:tcW w:w="160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47.50</w:t>
            </w: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90" w:hRule="atLeast"/>
        </w:trPr>
        <w:tc>
          <w:tcPr>
            <w:tcW w:w="295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二、政府性基金预算财政拨款</w:t>
            </w: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1247"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1,138.00</w:t>
            </w: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二、外交支出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34</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三、国有资本经营财政拨款</w:t>
            </w: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三、国防支出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四、公共安全支出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36</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五、教育支出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37</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六、科学技术支出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38</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60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七、文化旅游体育与传媒支出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39</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八、社会保障和就业支出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40</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24.03</w:t>
            </w:r>
          </w:p>
        </w:tc>
        <w:tc>
          <w:tcPr>
            <w:tcW w:w="160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24.03</w:t>
            </w: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九、卫生健康支出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41</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十、节能环保支出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42</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3,076.20</w:t>
            </w:r>
          </w:p>
        </w:tc>
        <w:tc>
          <w:tcPr>
            <w:tcW w:w="160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3,076.20</w:t>
            </w: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十一、城乡社区支出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43</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十二、农林水支出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44</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13,425.89</w:t>
            </w:r>
          </w:p>
        </w:tc>
        <w:tc>
          <w:tcPr>
            <w:tcW w:w="160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13,425.89</w:t>
            </w: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十三、交通运输支出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45</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十四、资源勘探工业信息等支出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46</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15</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十五、商业服务业等支出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十六、金融支出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48</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十七、援助其他地区支出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49</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十八、自然资源海洋气象等支出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60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十九、住房保障支出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51</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60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二十、粮油物资储备支出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52</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二十一、国有资本经营预算支出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53</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二十二、灾害防治及应急管理支出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54</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23</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二十三、其他支出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55</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center"/>
              <w:rPr>
                <w:rFonts w:ascii="宋体" w:cs="宋体"/>
                <w:b/>
                <w:bCs/>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二十四、债务还本支出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56</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二十五、债务付息支出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57</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22"/>
              </w:rPr>
            </w:pP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二十六、抗疫特别国债安排的支出</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58</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本年收入合计</w:t>
            </w: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27</w:t>
            </w:r>
          </w:p>
        </w:tc>
        <w:tc>
          <w:tcPr>
            <w:tcW w:w="1247"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17,172.41</w:t>
            </w:r>
          </w:p>
        </w:tc>
        <w:tc>
          <w:tcPr>
            <w:tcW w:w="351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本年支出合计</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59</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18,053.08</w:t>
            </w:r>
          </w:p>
        </w:tc>
        <w:tc>
          <w:tcPr>
            <w:tcW w:w="160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16,915.08</w:t>
            </w:r>
          </w:p>
        </w:tc>
        <w:tc>
          <w:tcPr>
            <w:tcW w:w="117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1,138.00</w:t>
            </w: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年初财政拨款结转和结余</w:t>
            </w: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w:t>
            </w:r>
          </w:p>
        </w:tc>
        <w:tc>
          <w:tcPr>
            <w:tcW w:w="1247"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880.66</w:t>
            </w: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年末财政拨款结转和结余</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60</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一般公共预算财政拨款</w:t>
            </w: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w:t>
            </w:r>
          </w:p>
        </w:tc>
        <w:tc>
          <w:tcPr>
            <w:tcW w:w="1247"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880.66</w:t>
            </w:r>
          </w:p>
        </w:tc>
        <w:tc>
          <w:tcPr>
            <w:tcW w:w="3516" w:type="dxa"/>
            <w:tcBorders>
              <w:top w:val="nil"/>
              <w:left w:val="nil"/>
              <w:bottom w:val="single" w:color="000000" w:sz="4" w:space="0"/>
              <w:right w:val="single" w:color="000000" w:sz="4" w:space="0"/>
            </w:tcBorders>
            <w:noWrap/>
            <w:vAlign w:val="center"/>
          </w:tcPr>
          <w:p>
            <w:pPr>
              <w:jc w:val="left"/>
              <w:rPr>
                <w:rFonts w:ascii="宋体" w:cs="宋体"/>
                <w:color w:val="000000"/>
                <w:sz w:val="20"/>
                <w:szCs w:val="20"/>
              </w:rPr>
            </w:pP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61</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0"/>
                <w:szCs w:val="20"/>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0"/>
                <w:szCs w:val="20"/>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0"/>
                <w:szCs w:val="20"/>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95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政府性基金预算财政拨款</w:t>
            </w: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jc w:val="left"/>
              <w:rPr>
                <w:rFonts w:ascii="宋体" w:cs="宋体"/>
                <w:color w:val="000000"/>
                <w:sz w:val="20"/>
                <w:szCs w:val="20"/>
              </w:rPr>
            </w:pP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62</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0"/>
                <w:szCs w:val="20"/>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0"/>
                <w:szCs w:val="20"/>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0"/>
                <w:szCs w:val="20"/>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436" w:hRule="atLeast"/>
        </w:trPr>
        <w:tc>
          <w:tcPr>
            <w:tcW w:w="2957"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国有资本经营预算财政拨款</w:t>
            </w: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31</w:t>
            </w:r>
          </w:p>
        </w:tc>
        <w:tc>
          <w:tcPr>
            <w:tcW w:w="1247"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516" w:type="dxa"/>
            <w:tcBorders>
              <w:top w:val="nil"/>
              <w:left w:val="nil"/>
              <w:bottom w:val="single" w:color="000000" w:sz="4" w:space="0"/>
              <w:right w:val="single" w:color="000000" w:sz="4" w:space="0"/>
            </w:tcBorders>
            <w:noWrap/>
            <w:vAlign w:val="center"/>
          </w:tcPr>
          <w:p>
            <w:pPr>
              <w:jc w:val="left"/>
              <w:rPr>
                <w:rFonts w:ascii="宋体" w:cs="宋体"/>
                <w:color w:val="000000"/>
                <w:sz w:val="22"/>
              </w:rPr>
            </w:pP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63</w:t>
            </w:r>
          </w:p>
        </w:tc>
        <w:tc>
          <w:tcPr>
            <w:tcW w:w="1543"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60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178"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454" w:hRule="atLeast"/>
        </w:trPr>
        <w:tc>
          <w:tcPr>
            <w:tcW w:w="2957"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总计</w:t>
            </w:r>
          </w:p>
        </w:tc>
        <w:tc>
          <w:tcPr>
            <w:tcW w:w="80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32</w:t>
            </w:r>
          </w:p>
        </w:tc>
        <w:tc>
          <w:tcPr>
            <w:tcW w:w="1247"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18,053.08</w:t>
            </w:r>
          </w:p>
        </w:tc>
        <w:tc>
          <w:tcPr>
            <w:tcW w:w="351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b/>
                <w:bCs/>
                <w:color w:val="000000"/>
                <w:sz w:val="22"/>
              </w:rPr>
            </w:pPr>
            <w:r>
              <w:rPr>
                <w:rFonts w:hint="eastAsia" w:ascii="宋体" w:hAnsi="宋体" w:cs="宋体"/>
                <w:b/>
                <w:bCs/>
                <w:color w:val="000000"/>
                <w:kern w:val="0"/>
                <w:sz w:val="22"/>
              </w:rPr>
              <w:t>总计</w:t>
            </w:r>
          </w:p>
        </w:tc>
        <w:tc>
          <w:tcPr>
            <w:tcW w:w="712"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64</w:t>
            </w:r>
          </w:p>
        </w:tc>
        <w:tc>
          <w:tcPr>
            <w:tcW w:w="1543"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18,053.08</w:t>
            </w:r>
          </w:p>
        </w:tc>
        <w:tc>
          <w:tcPr>
            <w:tcW w:w="1601"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16,915.08</w:t>
            </w:r>
          </w:p>
        </w:tc>
        <w:tc>
          <w:tcPr>
            <w:tcW w:w="1178"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1,138.00</w:t>
            </w:r>
          </w:p>
        </w:tc>
        <w:tc>
          <w:tcPr>
            <w:tcW w:w="1481"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bl>
    <w:p>
      <w:pPr>
        <w:widowControl/>
        <w:ind w:firstLine="240" w:firstLineChars="100"/>
        <w:rPr>
          <w:rFonts w:ascii="Times New Roman" w:hAnsi="Times New Roman" w:eastAsia="方正小标宋_GBK"/>
          <w:color w:val="000000"/>
          <w:kern w:val="0"/>
          <w:sz w:val="36"/>
          <w:szCs w:val="21"/>
        </w:rPr>
      </w:pPr>
      <w:r>
        <w:rPr>
          <w:rFonts w:hint="eastAsia" w:ascii="宋体" w:hAnsi="宋体" w:cs="宋体"/>
          <w:kern w:val="0"/>
          <w:sz w:val="24"/>
          <w:szCs w:val="24"/>
        </w:rPr>
        <w:t>注：本表反映部门本年度一般公共预算财政拨款、政府性基金预算财政拨款和国有资本经营预算财政拨款的总收支和年末结转结余情况。</w:t>
      </w:r>
    </w:p>
    <w:p>
      <w:pPr>
        <w:widowControl/>
        <w:jc w:val="center"/>
        <w:rPr>
          <w:rFonts w:ascii="Times New Roman" w:hAnsi="Times New Roman" w:eastAsia="方正小标宋_GBK"/>
          <w:kern w:val="0"/>
          <w:sz w:val="36"/>
          <w:szCs w:val="36"/>
        </w:rPr>
      </w:pPr>
      <w:bookmarkStart w:id="0" w:name="RANGE!A1:F16"/>
      <w:bookmarkEnd w:id="0"/>
      <w:bookmarkStart w:id="1" w:name="RANGE!A1:I22"/>
      <w:bookmarkEnd w:id="1"/>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r>
        <w:rPr>
          <w:rFonts w:hint="eastAsia" w:ascii="Times New Roman" w:hAnsi="Times New Roman" w:eastAsia="方正小标宋_GBK"/>
          <w:kern w:val="0"/>
          <w:sz w:val="36"/>
          <w:szCs w:val="36"/>
        </w:rPr>
        <w:t>一般公共预算财政拨款支出决算表</w:t>
      </w:r>
    </w:p>
    <w:p>
      <w:pPr>
        <w:widowControl/>
        <w:spacing w:beforeLines="5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部门：</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沅江市农业农村局</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05</w:t>
      </w:r>
      <w:r>
        <w:rPr>
          <w:rFonts w:hint="eastAsia" w:ascii="Times New Roman" w:hAnsi="Times New Roman" w:eastAsia="仿宋_GB2312"/>
          <w:color w:val="000000"/>
          <w:kern w:val="0"/>
          <w:szCs w:val="21"/>
        </w:rPr>
        <w:t>表</w:t>
      </w:r>
    </w:p>
    <w:p>
      <w:pPr>
        <w:widowControl/>
        <w:spacing w:beforeLines="50"/>
        <w:ind w:firstLine="14490" w:firstLineChars="69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单位：万元</w:t>
      </w:r>
    </w:p>
    <w:tbl>
      <w:tblPr>
        <w:tblStyle w:val="7"/>
        <w:tblW w:w="15432" w:type="dxa"/>
        <w:tblInd w:w="91" w:type="dxa"/>
        <w:tblLayout w:type="fixed"/>
        <w:tblCellMar>
          <w:top w:w="0" w:type="dxa"/>
          <w:left w:w="108" w:type="dxa"/>
          <w:bottom w:w="0" w:type="dxa"/>
          <w:right w:w="108" w:type="dxa"/>
        </w:tblCellMar>
      </w:tblPr>
      <w:tblGrid>
        <w:gridCol w:w="2185"/>
        <w:gridCol w:w="4941"/>
        <w:gridCol w:w="2090"/>
        <w:gridCol w:w="3010"/>
        <w:gridCol w:w="3206"/>
      </w:tblGrid>
      <w:tr>
        <w:trPr>
          <w:trHeight w:val="555" w:hRule="atLeast"/>
        </w:trPr>
        <w:tc>
          <w:tcPr>
            <w:tcW w:w="71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项目</w:t>
            </w:r>
          </w:p>
        </w:tc>
        <w:tc>
          <w:tcPr>
            <w:tcW w:w="8306"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2" w:hRule="atLeast"/>
        </w:trPr>
        <w:tc>
          <w:tcPr>
            <w:tcW w:w="218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功能分类科目编码</w:t>
            </w:r>
          </w:p>
        </w:tc>
        <w:tc>
          <w:tcPr>
            <w:tcW w:w="4941"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科目名称</w:t>
            </w:r>
          </w:p>
        </w:tc>
        <w:tc>
          <w:tcPr>
            <w:tcW w:w="209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小计</w:t>
            </w:r>
          </w:p>
        </w:tc>
        <w:tc>
          <w:tcPr>
            <w:tcW w:w="301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基本支出</w:t>
            </w:r>
          </w:p>
        </w:tc>
        <w:tc>
          <w:tcPr>
            <w:tcW w:w="320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2185" w:type="dxa"/>
            <w:vMerge w:val="continue"/>
            <w:tcBorders>
              <w:top w:val="nil"/>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41" w:type="dxa"/>
            <w:vMerge w:val="continue"/>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2090"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c>
          <w:tcPr>
            <w:tcW w:w="3010"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c>
          <w:tcPr>
            <w:tcW w:w="3206"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12" w:hRule="atLeast"/>
        </w:trPr>
        <w:tc>
          <w:tcPr>
            <w:tcW w:w="2185" w:type="dxa"/>
            <w:vMerge w:val="continue"/>
            <w:tcBorders>
              <w:top w:val="nil"/>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41" w:type="dxa"/>
            <w:vMerge w:val="continue"/>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2090"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c>
          <w:tcPr>
            <w:tcW w:w="3010"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c>
          <w:tcPr>
            <w:tcW w:w="3206" w:type="dxa"/>
            <w:vMerge w:val="continue"/>
            <w:tcBorders>
              <w:top w:val="nil"/>
              <w:left w:val="nil"/>
              <w:bottom w:val="single" w:color="000000" w:sz="4" w:space="0"/>
              <w:right w:val="single" w:color="000000" w:sz="4" w:space="0"/>
            </w:tcBorders>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7126"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栏次</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w:t>
            </w: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7126"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合计</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16,915.08</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2,564.57</w:t>
            </w: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14,350.51</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一般公共服务支出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47.50</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12.13</w:t>
            </w: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35.37</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20104</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发展与改革事务</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35.37</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35.37</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2010404</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战略规划与实施</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35.37</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35.37</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20107</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税收事务</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2010799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其他税收事务支出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11.53</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20132</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组织事务</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2013299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其他组织事务支出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0.60</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206</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科学技术支出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20699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其他科学技术支出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2069999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其他科学技术支出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25.90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社会保障和就业支出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24.03</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24.03</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20807</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就业补助</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2080799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其他就业补助支出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1.46</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抚恤</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22.56</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22.56</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2080801</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死亡抚恤</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7.31</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7.31</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2080805</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义务兵优待</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6.12</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6.12</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2080899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其他优抚支出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9.13</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9.13</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节能环保支出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3,076.20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3,076.20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21103</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污染防治</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2110399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其他污染防治支出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200.00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21104</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自然生态保护</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2,876.20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2,876.20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2110402</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农村环境保护</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2,876.20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2,876.20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农林水支出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13,425.89</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2,409.45</w:t>
            </w: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11,016.44</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农业农村</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12,709.89</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2,409.45</w:t>
            </w: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10,300.44</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2130101</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行政运行</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2,409.45</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2,409.45</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2130102</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一般行政管理事务</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263.83</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263.83</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2130106</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科技转化与推广服务</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244.05</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244.05</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2130108</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病虫害控制</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211.04</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211.04</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2130109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农产品质量安全</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75.48</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75.48</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2130121</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农业结构调整补贴</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295.59</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295.59</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2130122</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农业生产发展</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762.00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762.00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2130124</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农村合作经济</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216.00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216.00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2130125</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农产品加工与促销</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161.54</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161.54</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2130126</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农村社会事业</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76.78</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76.78</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2130135</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农业资源保护修复与利用</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107.86</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107.86</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2130153</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农田建设</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7,221.75</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7,221.75</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2130199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其他农业农村支出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664.53</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664.53</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21305</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扶贫</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2130599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其他扶贫支出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716.00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220</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自然资源海洋气象等支出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22001</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自然资源事务</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2200199</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其他自然资源事务支出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c>
          <w:tcPr>
            <w:tcW w:w="3010"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c>
          <w:tcPr>
            <w:tcW w:w="3206"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196.60</w:t>
            </w: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221</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住房保障支出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22102</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hint="eastAsia" w:ascii="宋体" w:hAnsi="宋体" w:cs="宋体"/>
                <w:color w:val="000000"/>
                <w:kern w:val="0"/>
                <w:sz w:val="22"/>
              </w:rPr>
              <w:t>住房改革支出</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r>
        <w:tblPrEx>
          <w:tblCellMar>
            <w:top w:w="0" w:type="dxa"/>
            <w:left w:w="108" w:type="dxa"/>
            <w:bottom w:w="0" w:type="dxa"/>
            <w:right w:w="108" w:type="dxa"/>
          </w:tblCellMar>
        </w:tblPrEx>
        <w:trPr>
          <w:trHeight w:val="308" w:hRule="atLeast"/>
        </w:trPr>
        <w:tc>
          <w:tcPr>
            <w:tcW w:w="218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2210201</w:t>
            </w:r>
          </w:p>
        </w:tc>
        <w:tc>
          <w:tcPr>
            <w:tcW w:w="4941" w:type="dxa"/>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22"/>
              </w:rPr>
            </w:pPr>
            <w:r>
              <w:rPr>
                <w:rFonts w:ascii="宋体" w:hAnsi="宋体" w:cs="宋体"/>
                <w:color w:val="000000"/>
                <w:kern w:val="0"/>
                <w:sz w:val="22"/>
              </w:rPr>
              <w:t xml:space="preserve">  </w:t>
            </w:r>
            <w:r>
              <w:rPr>
                <w:rFonts w:hint="eastAsia" w:ascii="宋体" w:hAnsi="宋体" w:cs="宋体"/>
                <w:color w:val="000000"/>
                <w:kern w:val="0"/>
                <w:sz w:val="22"/>
              </w:rPr>
              <w:t>住房公积金</w:t>
            </w:r>
          </w:p>
        </w:tc>
        <w:tc>
          <w:tcPr>
            <w:tcW w:w="209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3010" w:type="dxa"/>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ascii="宋体" w:hAnsi="宋体" w:cs="宋体"/>
                <w:color w:val="000000"/>
                <w:kern w:val="0"/>
                <w:sz w:val="22"/>
              </w:rPr>
              <w:t>118.96</w:t>
            </w:r>
          </w:p>
        </w:tc>
        <w:tc>
          <w:tcPr>
            <w:tcW w:w="3206" w:type="dxa"/>
            <w:tcBorders>
              <w:top w:val="nil"/>
              <w:left w:val="nil"/>
              <w:bottom w:val="single" w:color="000000" w:sz="4" w:space="0"/>
              <w:right w:val="single" w:color="000000" w:sz="4" w:space="0"/>
            </w:tcBorders>
            <w:noWrap/>
            <w:vAlign w:val="center"/>
          </w:tcPr>
          <w:p>
            <w:pPr>
              <w:jc w:val="center"/>
              <w:rPr>
                <w:rFonts w:ascii="宋体" w:cs="宋体"/>
                <w:color w:val="000000"/>
                <w:sz w:val="22"/>
              </w:rPr>
            </w:pPr>
          </w:p>
        </w:tc>
      </w:tr>
    </w:tbl>
    <w:p>
      <w:pPr>
        <w:widowControl/>
        <w:ind w:firstLine="210" w:firstLineChars="100"/>
        <w:rPr>
          <w:rFonts w:ascii="Times New Roman" w:hAnsi="Times New Roman" w:eastAsia="仿宋_GB2312"/>
          <w:kern w:val="0"/>
          <w:szCs w:val="21"/>
        </w:rPr>
      </w:pPr>
    </w:p>
    <w:p>
      <w:pPr>
        <w:widowControl/>
        <w:ind w:firstLine="210" w:firstLineChars="100"/>
        <w:rPr>
          <w:rFonts w:ascii="Times New Roman" w:hAnsi="Times New Roman" w:eastAsia="方正小标宋_GBK"/>
          <w:kern w:val="0"/>
          <w:sz w:val="36"/>
          <w:szCs w:val="36"/>
        </w:rPr>
      </w:pPr>
      <w:r>
        <w:rPr>
          <w:rFonts w:hint="eastAsia" w:ascii="Times New Roman" w:hAnsi="Times New Roman" w:eastAsia="仿宋_GB2312"/>
          <w:kern w:val="0"/>
          <w:szCs w:val="21"/>
        </w:rPr>
        <w:t>注：本表反映部门本年度一般公共预算财政拨款支出情况。</w:t>
      </w:r>
      <w:r>
        <w:rPr>
          <w:rFonts w:ascii="Times New Roman" w:hAnsi="Times New Roman" w:eastAsia="仿宋_GB2312"/>
          <w:color w:val="000000"/>
          <w:kern w:val="0"/>
          <w:szCs w:val="21"/>
        </w:rPr>
        <w:t xml:space="preserve">                                                      </w:t>
      </w:r>
    </w:p>
    <w:p>
      <w:pPr>
        <w:widowControl/>
        <w:jc w:val="left"/>
        <w:rPr>
          <w:rFonts w:ascii="Times New Roman" w:hAnsi="Times New Roman"/>
          <w:color w:val="000000"/>
          <w:kern w:val="0"/>
          <w:sz w:val="20"/>
          <w:szCs w:val="20"/>
        </w:rPr>
      </w:pPr>
      <w:r>
        <w:rPr>
          <w:rFonts w:ascii="Times New Roman" w:hAnsi="Times New Roman" w:eastAsia="仿宋_GB2312"/>
          <w:color w:val="000000"/>
          <w:kern w:val="0"/>
          <w:szCs w:val="21"/>
        </w:rPr>
        <w:t xml:space="preserve">                                                                                                                                     </w:t>
      </w:r>
    </w:p>
    <w:p>
      <w:pPr>
        <w:widowControl/>
        <w:jc w:val="center"/>
        <w:rPr>
          <w:rFonts w:ascii="Times New Roman" w:hAnsi="Times New Roman" w:eastAsia="方正小标宋_GBK"/>
          <w:kern w:val="0"/>
          <w:sz w:val="36"/>
          <w:szCs w:val="36"/>
        </w:rPr>
      </w:pPr>
    </w:p>
    <w:p>
      <w:pPr>
        <w:widowControl/>
        <w:jc w:val="center"/>
        <w:rPr>
          <w:rFonts w:ascii="Times New Roman" w:hAnsi="Times New Roman" w:eastAsia="方正小标宋_GBK"/>
          <w:kern w:val="0"/>
          <w:sz w:val="36"/>
          <w:szCs w:val="36"/>
        </w:rPr>
      </w:pPr>
    </w:p>
    <w:tbl>
      <w:tblPr>
        <w:tblStyle w:val="7"/>
        <w:tblW w:w="5004" w:type="pct"/>
        <w:tblInd w:w="0" w:type="dxa"/>
        <w:tblLayout w:type="fixed"/>
        <w:tblCellMar>
          <w:top w:w="0" w:type="dxa"/>
          <w:left w:w="108" w:type="dxa"/>
          <w:bottom w:w="0" w:type="dxa"/>
          <w:right w:w="108" w:type="dxa"/>
        </w:tblCellMar>
      </w:tblPr>
      <w:tblGrid>
        <w:gridCol w:w="959"/>
        <w:gridCol w:w="3150"/>
        <w:gridCol w:w="1108"/>
        <w:gridCol w:w="953"/>
        <w:gridCol w:w="2108"/>
        <w:gridCol w:w="1272"/>
        <w:gridCol w:w="1228"/>
        <w:gridCol w:w="3718"/>
        <w:gridCol w:w="1284"/>
      </w:tblGrid>
      <w:tr>
        <w:trPr>
          <w:trHeight w:val="581" w:hRule="atLeast"/>
        </w:trPr>
        <w:tc>
          <w:tcPr>
            <w:tcW w:w="5000" w:type="pct"/>
            <w:gridSpan w:val="9"/>
            <w:tcBorders>
              <w:top w:val="nil"/>
              <w:left w:val="nil"/>
              <w:bottom w:val="nil"/>
              <w:right w:val="nil"/>
            </w:tcBorders>
            <w:noWrap/>
            <w:vAlign w:val="bottom"/>
          </w:tcPr>
          <w:p>
            <w:pPr>
              <w:widowControl/>
              <w:jc w:val="center"/>
              <w:textAlignment w:val="bottom"/>
              <w:rPr>
                <w:rFonts w:ascii="宋体" w:cs="宋体"/>
                <w:color w:val="000000"/>
                <w:sz w:val="30"/>
                <w:szCs w:val="30"/>
              </w:rPr>
            </w:pPr>
            <w:r>
              <w:rPr>
                <w:rFonts w:hint="eastAsia" w:ascii="宋体" w:hAnsi="宋体" w:cs="宋体"/>
                <w:color w:val="000000"/>
                <w:kern w:val="0"/>
                <w:sz w:val="30"/>
                <w:szCs w:val="30"/>
              </w:rPr>
              <w:t>一般公共预算财政拨款基本支出决算明细表</w:t>
            </w:r>
          </w:p>
        </w:tc>
      </w:tr>
      <w:tr>
        <w:tblPrEx>
          <w:tblCellMar>
            <w:top w:w="0" w:type="dxa"/>
            <w:left w:w="108" w:type="dxa"/>
            <w:bottom w:w="0" w:type="dxa"/>
            <w:right w:w="108" w:type="dxa"/>
          </w:tblCellMar>
        </w:tblPrEx>
        <w:trPr>
          <w:trHeight w:val="291" w:hRule="atLeast"/>
        </w:trPr>
        <w:tc>
          <w:tcPr>
            <w:tcW w:w="304" w:type="pct"/>
            <w:tcBorders>
              <w:top w:val="nil"/>
              <w:left w:val="nil"/>
              <w:bottom w:val="nil"/>
              <w:right w:val="nil"/>
            </w:tcBorders>
            <w:noWrap/>
            <w:vAlign w:val="bottom"/>
          </w:tcPr>
          <w:p>
            <w:pPr>
              <w:rPr>
                <w:rFonts w:ascii="Arial" w:hAnsi="Arial" w:cs="Arial"/>
                <w:color w:val="000000"/>
                <w:sz w:val="20"/>
                <w:szCs w:val="20"/>
              </w:rPr>
            </w:pPr>
          </w:p>
        </w:tc>
        <w:tc>
          <w:tcPr>
            <w:tcW w:w="998" w:type="pct"/>
            <w:tcBorders>
              <w:top w:val="nil"/>
              <w:left w:val="nil"/>
              <w:bottom w:val="nil"/>
              <w:right w:val="nil"/>
            </w:tcBorders>
            <w:noWrap/>
            <w:vAlign w:val="bottom"/>
          </w:tcPr>
          <w:p>
            <w:pPr>
              <w:rPr>
                <w:rFonts w:ascii="Arial" w:hAnsi="Arial" w:cs="Arial"/>
                <w:color w:val="000000"/>
                <w:sz w:val="20"/>
                <w:szCs w:val="20"/>
              </w:rPr>
            </w:pPr>
          </w:p>
        </w:tc>
        <w:tc>
          <w:tcPr>
            <w:tcW w:w="350" w:type="pct"/>
            <w:tcBorders>
              <w:top w:val="nil"/>
              <w:left w:val="nil"/>
              <w:bottom w:val="nil"/>
              <w:right w:val="nil"/>
            </w:tcBorders>
            <w:noWrap/>
            <w:vAlign w:val="bottom"/>
          </w:tcPr>
          <w:p>
            <w:pPr>
              <w:rPr>
                <w:rFonts w:ascii="Arial" w:hAnsi="Arial" w:cs="Arial"/>
                <w:color w:val="000000"/>
                <w:sz w:val="20"/>
                <w:szCs w:val="20"/>
              </w:rPr>
            </w:pPr>
          </w:p>
        </w:tc>
        <w:tc>
          <w:tcPr>
            <w:tcW w:w="302" w:type="pct"/>
            <w:tcBorders>
              <w:top w:val="nil"/>
              <w:left w:val="nil"/>
              <w:bottom w:val="nil"/>
              <w:right w:val="nil"/>
            </w:tcBorders>
            <w:noWrap/>
            <w:vAlign w:val="bottom"/>
          </w:tcPr>
          <w:p>
            <w:pPr>
              <w:rPr>
                <w:rFonts w:ascii="Arial" w:hAnsi="Arial" w:cs="Arial"/>
                <w:color w:val="000000"/>
                <w:sz w:val="20"/>
                <w:szCs w:val="20"/>
              </w:rPr>
            </w:pPr>
          </w:p>
        </w:tc>
        <w:tc>
          <w:tcPr>
            <w:tcW w:w="668" w:type="pct"/>
            <w:tcBorders>
              <w:top w:val="nil"/>
              <w:left w:val="nil"/>
              <w:bottom w:val="nil"/>
              <w:right w:val="nil"/>
            </w:tcBorders>
            <w:noWrap/>
            <w:vAlign w:val="bottom"/>
          </w:tcPr>
          <w:p>
            <w:pPr>
              <w:rPr>
                <w:rFonts w:ascii="Arial" w:hAnsi="Arial" w:cs="Arial"/>
                <w:color w:val="000000"/>
                <w:sz w:val="20"/>
                <w:szCs w:val="20"/>
              </w:rPr>
            </w:pPr>
          </w:p>
        </w:tc>
        <w:tc>
          <w:tcPr>
            <w:tcW w:w="403" w:type="pct"/>
            <w:tcBorders>
              <w:top w:val="nil"/>
              <w:left w:val="nil"/>
              <w:bottom w:val="nil"/>
              <w:right w:val="nil"/>
            </w:tcBorders>
            <w:noWrap/>
            <w:vAlign w:val="bottom"/>
          </w:tcPr>
          <w:p>
            <w:pPr>
              <w:rPr>
                <w:rFonts w:ascii="Arial" w:hAnsi="Arial" w:cs="Arial"/>
                <w:color w:val="000000"/>
                <w:sz w:val="20"/>
                <w:szCs w:val="20"/>
              </w:rPr>
            </w:pPr>
          </w:p>
        </w:tc>
        <w:tc>
          <w:tcPr>
            <w:tcW w:w="389" w:type="pct"/>
            <w:tcBorders>
              <w:top w:val="nil"/>
              <w:left w:val="nil"/>
              <w:bottom w:val="nil"/>
              <w:right w:val="nil"/>
            </w:tcBorders>
            <w:noWrap/>
            <w:vAlign w:val="bottom"/>
          </w:tcPr>
          <w:p>
            <w:pPr>
              <w:rPr>
                <w:rFonts w:ascii="Arial" w:hAnsi="Arial" w:cs="Arial"/>
                <w:color w:val="000000"/>
                <w:sz w:val="20"/>
                <w:szCs w:val="20"/>
              </w:rPr>
            </w:pPr>
          </w:p>
        </w:tc>
        <w:tc>
          <w:tcPr>
            <w:tcW w:w="1176" w:type="pct"/>
            <w:tcBorders>
              <w:top w:val="nil"/>
              <w:left w:val="nil"/>
              <w:bottom w:val="nil"/>
              <w:right w:val="nil"/>
            </w:tcBorders>
            <w:noWrap/>
            <w:vAlign w:val="bottom"/>
          </w:tcPr>
          <w:p>
            <w:pPr>
              <w:rPr>
                <w:rFonts w:ascii="Arial" w:hAnsi="Arial" w:cs="Arial"/>
                <w:color w:val="000000"/>
                <w:sz w:val="20"/>
                <w:szCs w:val="20"/>
              </w:rPr>
            </w:pPr>
          </w:p>
        </w:tc>
        <w:tc>
          <w:tcPr>
            <w:tcW w:w="406" w:type="pct"/>
            <w:tcBorders>
              <w:top w:val="nil"/>
              <w:left w:val="nil"/>
              <w:bottom w:val="nil"/>
              <w:right w:val="nil"/>
            </w:tcBorders>
            <w:noWrap/>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06</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91" w:hRule="atLeast"/>
        </w:trPr>
        <w:tc>
          <w:tcPr>
            <w:tcW w:w="1653" w:type="pct"/>
            <w:gridSpan w:val="3"/>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rPr>
              <w:t>部门：沅江市农业农村局</w:t>
            </w:r>
          </w:p>
        </w:tc>
        <w:tc>
          <w:tcPr>
            <w:tcW w:w="302" w:type="pct"/>
            <w:tcBorders>
              <w:top w:val="nil"/>
              <w:left w:val="nil"/>
              <w:bottom w:val="nil"/>
              <w:right w:val="nil"/>
            </w:tcBorders>
            <w:noWrap/>
            <w:vAlign w:val="bottom"/>
          </w:tcPr>
          <w:p>
            <w:pPr>
              <w:rPr>
                <w:rFonts w:ascii="Arial" w:hAnsi="Arial" w:cs="Arial"/>
                <w:color w:val="000000"/>
                <w:sz w:val="20"/>
                <w:szCs w:val="20"/>
              </w:rPr>
            </w:pPr>
          </w:p>
        </w:tc>
        <w:tc>
          <w:tcPr>
            <w:tcW w:w="668" w:type="pct"/>
            <w:tcBorders>
              <w:top w:val="nil"/>
              <w:left w:val="nil"/>
              <w:bottom w:val="nil"/>
              <w:right w:val="nil"/>
            </w:tcBorders>
            <w:noWrap/>
            <w:vAlign w:val="bottom"/>
          </w:tcPr>
          <w:p>
            <w:pPr>
              <w:rPr>
                <w:rFonts w:ascii="Arial" w:hAnsi="Arial" w:cs="Arial"/>
                <w:color w:val="000000"/>
                <w:sz w:val="20"/>
                <w:szCs w:val="20"/>
              </w:rPr>
            </w:pPr>
          </w:p>
        </w:tc>
        <w:tc>
          <w:tcPr>
            <w:tcW w:w="403" w:type="pct"/>
            <w:tcBorders>
              <w:top w:val="nil"/>
              <w:left w:val="nil"/>
              <w:bottom w:val="nil"/>
              <w:right w:val="nil"/>
            </w:tcBorders>
            <w:noWrap/>
            <w:vAlign w:val="bottom"/>
          </w:tcPr>
          <w:p>
            <w:pPr>
              <w:rPr>
                <w:rFonts w:ascii="Arial" w:hAnsi="Arial" w:cs="Arial"/>
                <w:color w:val="000000"/>
                <w:sz w:val="20"/>
                <w:szCs w:val="20"/>
              </w:rPr>
            </w:pPr>
          </w:p>
        </w:tc>
        <w:tc>
          <w:tcPr>
            <w:tcW w:w="389" w:type="pct"/>
            <w:tcBorders>
              <w:top w:val="nil"/>
              <w:left w:val="nil"/>
              <w:bottom w:val="nil"/>
              <w:right w:val="nil"/>
            </w:tcBorders>
            <w:noWrap/>
            <w:vAlign w:val="bottom"/>
          </w:tcPr>
          <w:p>
            <w:pPr>
              <w:rPr>
                <w:rFonts w:ascii="Arial" w:hAnsi="Arial" w:cs="Arial"/>
                <w:color w:val="000000"/>
                <w:sz w:val="20"/>
                <w:szCs w:val="20"/>
              </w:rPr>
            </w:pPr>
          </w:p>
        </w:tc>
        <w:tc>
          <w:tcPr>
            <w:tcW w:w="1582" w:type="pct"/>
            <w:gridSpan w:val="2"/>
            <w:tcBorders>
              <w:top w:val="nil"/>
              <w:left w:val="nil"/>
              <w:bottom w:val="nil"/>
              <w:right w:val="nil"/>
            </w:tcBorders>
            <w:noWrap/>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0" w:hRule="atLeast"/>
        </w:trPr>
        <w:tc>
          <w:tcPr>
            <w:tcW w:w="1653"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人员经费</w:t>
            </w:r>
          </w:p>
        </w:tc>
        <w:tc>
          <w:tcPr>
            <w:tcW w:w="3346" w:type="pct"/>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cs="宋体"/>
                <w:color w:val="00000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trHeight w:val="312" w:hRule="atLeast"/>
        </w:trPr>
        <w:tc>
          <w:tcPr>
            <w:tcW w:w="304" w:type="pct"/>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科目编码</w:t>
            </w:r>
          </w:p>
        </w:tc>
        <w:tc>
          <w:tcPr>
            <w:tcW w:w="998"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科目名称</w:t>
            </w:r>
          </w:p>
        </w:tc>
        <w:tc>
          <w:tcPr>
            <w:tcW w:w="350"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决算数</w:t>
            </w:r>
          </w:p>
        </w:tc>
        <w:tc>
          <w:tcPr>
            <w:tcW w:w="302"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科目编码</w:t>
            </w:r>
          </w:p>
        </w:tc>
        <w:tc>
          <w:tcPr>
            <w:tcW w:w="668"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科目名称</w:t>
            </w:r>
          </w:p>
        </w:tc>
        <w:tc>
          <w:tcPr>
            <w:tcW w:w="403"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决算数</w:t>
            </w:r>
          </w:p>
        </w:tc>
        <w:tc>
          <w:tcPr>
            <w:tcW w:w="389"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科目编码</w:t>
            </w:r>
          </w:p>
        </w:tc>
        <w:tc>
          <w:tcPr>
            <w:tcW w:w="1176"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科目名称</w:t>
            </w:r>
          </w:p>
        </w:tc>
        <w:tc>
          <w:tcPr>
            <w:tcW w:w="406"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312" w:hRule="atLeast"/>
        </w:trPr>
        <w:tc>
          <w:tcPr>
            <w:tcW w:w="304" w:type="pct"/>
            <w:vMerge w:val="continue"/>
            <w:tcBorders>
              <w:top w:val="nil"/>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998" w:type="pct"/>
            <w:vMerge w:val="continue"/>
            <w:tcBorders>
              <w:top w:val="nil"/>
              <w:left w:val="nil"/>
              <w:bottom w:val="single" w:color="000000" w:sz="4" w:space="0"/>
              <w:right w:val="single" w:color="000000" w:sz="4" w:space="0"/>
            </w:tcBorders>
            <w:vAlign w:val="center"/>
          </w:tcPr>
          <w:p>
            <w:pPr>
              <w:jc w:val="center"/>
              <w:rPr>
                <w:rFonts w:ascii="宋体" w:cs="宋体"/>
                <w:color w:val="000000"/>
                <w:sz w:val="18"/>
                <w:szCs w:val="18"/>
              </w:rPr>
            </w:pPr>
          </w:p>
        </w:tc>
        <w:tc>
          <w:tcPr>
            <w:tcW w:w="350" w:type="pct"/>
            <w:vMerge w:val="continue"/>
            <w:tcBorders>
              <w:top w:val="nil"/>
              <w:left w:val="nil"/>
              <w:bottom w:val="single" w:color="000000" w:sz="4" w:space="0"/>
              <w:right w:val="single" w:color="000000" w:sz="4" w:space="0"/>
            </w:tcBorders>
            <w:vAlign w:val="center"/>
          </w:tcPr>
          <w:p>
            <w:pPr>
              <w:jc w:val="center"/>
              <w:rPr>
                <w:rFonts w:ascii="宋体" w:cs="宋体"/>
                <w:color w:val="000000"/>
                <w:sz w:val="18"/>
                <w:szCs w:val="18"/>
              </w:rPr>
            </w:pPr>
          </w:p>
        </w:tc>
        <w:tc>
          <w:tcPr>
            <w:tcW w:w="302" w:type="pct"/>
            <w:vMerge w:val="continue"/>
            <w:tcBorders>
              <w:top w:val="nil"/>
              <w:left w:val="nil"/>
              <w:bottom w:val="single" w:color="000000" w:sz="4" w:space="0"/>
              <w:right w:val="single" w:color="000000" w:sz="4" w:space="0"/>
            </w:tcBorders>
            <w:vAlign w:val="center"/>
          </w:tcPr>
          <w:p>
            <w:pPr>
              <w:jc w:val="center"/>
              <w:rPr>
                <w:rFonts w:ascii="宋体" w:cs="宋体"/>
                <w:color w:val="000000"/>
                <w:sz w:val="18"/>
                <w:szCs w:val="18"/>
              </w:rPr>
            </w:pPr>
          </w:p>
        </w:tc>
        <w:tc>
          <w:tcPr>
            <w:tcW w:w="668" w:type="pct"/>
            <w:vMerge w:val="continue"/>
            <w:tcBorders>
              <w:top w:val="nil"/>
              <w:left w:val="nil"/>
              <w:bottom w:val="single" w:color="000000" w:sz="4" w:space="0"/>
              <w:right w:val="single" w:color="000000" w:sz="4" w:space="0"/>
            </w:tcBorders>
            <w:vAlign w:val="center"/>
          </w:tcPr>
          <w:p>
            <w:pPr>
              <w:jc w:val="center"/>
              <w:rPr>
                <w:rFonts w:ascii="宋体" w:cs="宋体"/>
                <w:color w:val="000000"/>
                <w:sz w:val="18"/>
                <w:szCs w:val="18"/>
              </w:rPr>
            </w:pPr>
          </w:p>
        </w:tc>
        <w:tc>
          <w:tcPr>
            <w:tcW w:w="403" w:type="pct"/>
            <w:vMerge w:val="continue"/>
            <w:tcBorders>
              <w:top w:val="nil"/>
              <w:left w:val="nil"/>
              <w:bottom w:val="single" w:color="000000" w:sz="4" w:space="0"/>
              <w:right w:val="single" w:color="000000" w:sz="4" w:space="0"/>
            </w:tcBorders>
            <w:vAlign w:val="center"/>
          </w:tcPr>
          <w:p>
            <w:pPr>
              <w:jc w:val="center"/>
              <w:rPr>
                <w:rFonts w:ascii="宋体" w:cs="宋体"/>
                <w:color w:val="000000"/>
                <w:sz w:val="18"/>
                <w:szCs w:val="18"/>
              </w:rPr>
            </w:pPr>
          </w:p>
        </w:tc>
        <w:tc>
          <w:tcPr>
            <w:tcW w:w="389" w:type="pct"/>
            <w:vMerge w:val="continue"/>
            <w:tcBorders>
              <w:top w:val="nil"/>
              <w:left w:val="nil"/>
              <w:bottom w:val="single" w:color="000000" w:sz="4" w:space="0"/>
              <w:right w:val="single" w:color="000000" w:sz="4" w:space="0"/>
            </w:tcBorders>
            <w:vAlign w:val="center"/>
          </w:tcPr>
          <w:p>
            <w:pPr>
              <w:jc w:val="center"/>
              <w:rPr>
                <w:rFonts w:ascii="宋体" w:cs="宋体"/>
                <w:color w:val="000000"/>
                <w:sz w:val="18"/>
                <w:szCs w:val="18"/>
              </w:rPr>
            </w:pPr>
          </w:p>
        </w:tc>
        <w:tc>
          <w:tcPr>
            <w:tcW w:w="1176" w:type="pct"/>
            <w:vMerge w:val="continue"/>
            <w:tcBorders>
              <w:top w:val="nil"/>
              <w:left w:val="nil"/>
              <w:bottom w:val="single" w:color="000000" w:sz="4" w:space="0"/>
              <w:right w:val="single" w:color="000000" w:sz="4" w:space="0"/>
            </w:tcBorders>
            <w:vAlign w:val="center"/>
          </w:tcPr>
          <w:p>
            <w:pPr>
              <w:jc w:val="center"/>
              <w:rPr>
                <w:rFonts w:ascii="宋体" w:cs="宋体"/>
                <w:color w:val="000000"/>
                <w:sz w:val="18"/>
                <w:szCs w:val="18"/>
              </w:rPr>
            </w:pPr>
          </w:p>
        </w:tc>
        <w:tc>
          <w:tcPr>
            <w:tcW w:w="406" w:type="pct"/>
            <w:vMerge w:val="continue"/>
            <w:tcBorders>
              <w:top w:val="nil"/>
              <w:left w:val="nil"/>
              <w:bottom w:val="single" w:color="000000" w:sz="4" w:space="0"/>
              <w:right w:val="single" w:color="000000" w:sz="4" w:space="0"/>
            </w:tcBorders>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73"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工资福利支出</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1,918.96</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商品和服务支出</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408.76</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债务利息及费用支出</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25"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30101</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基本工资</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735.75</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30201</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59.99</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30701</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国内债务付息</w:t>
            </w:r>
          </w:p>
        </w:tc>
        <w:tc>
          <w:tcPr>
            <w:tcW w:w="406"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p>
        </w:tc>
      </w:tr>
      <w:tr>
        <w:tblPrEx>
          <w:tblCellMar>
            <w:top w:w="0" w:type="dxa"/>
            <w:left w:w="108" w:type="dxa"/>
            <w:bottom w:w="0" w:type="dxa"/>
            <w:right w:w="108" w:type="dxa"/>
          </w:tblCellMar>
        </w:tblPrEx>
        <w:trPr>
          <w:trHeight w:val="275"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30102</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津贴补贴</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429.85</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30202</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印刷费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30702</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国外债务付息</w:t>
            </w:r>
          </w:p>
        </w:tc>
        <w:tc>
          <w:tcPr>
            <w:tcW w:w="406"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p>
        </w:tc>
      </w:tr>
      <w:tr>
        <w:tblPrEx>
          <w:tblCellMar>
            <w:top w:w="0" w:type="dxa"/>
            <w:left w:w="108" w:type="dxa"/>
            <w:bottom w:w="0" w:type="dxa"/>
            <w:right w:w="108" w:type="dxa"/>
          </w:tblCellMar>
        </w:tblPrEx>
        <w:trPr>
          <w:trHeight w:val="291"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30103</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奖金</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233.34</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30203</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咨询费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310</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资本性支出</w:t>
            </w:r>
          </w:p>
        </w:tc>
        <w:tc>
          <w:tcPr>
            <w:tcW w:w="406"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14.36</w:t>
            </w:r>
          </w:p>
        </w:tc>
      </w:tr>
      <w:tr>
        <w:tblPrEx>
          <w:tblCellMar>
            <w:top w:w="0" w:type="dxa"/>
            <w:left w:w="108" w:type="dxa"/>
            <w:bottom w:w="0" w:type="dxa"/>
            <w:right w:w="108" w:type="dxa"/>
          </w:tblCellMar>
        </w:tblPrEx>
        <w:trPr>
          <w:trHeight w:val="216"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30106</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伙食补助费</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33.84</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30204</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手续费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31001</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房屋建筑物购建</w:t>
            </w:r>
          </w:p>
        </w:tc>
        <w:tc>
          <w:tcPr>
            <w:tcW w:w="406"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p>
        </w:tc>
      </w:tr>
      <w:tr>
        <w:tblPrEx>
          <w:tblCellMar>
            <w:top w:w="0" w:type="dxa"/>
            <w:left w:w="108" w:type="dxa"/>
            <w:bottom w:w="0" w:type="dxa"/>
            <w:right w:w="108" w:type="dxa"/>
          </w:tblCellMar>
        </w:tblPrEx>
        <w:trPr>
          <w:trHeight w:val="235"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30107</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绩效工资</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30205</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0.74</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31002</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办公设备购置</w:t>
            </w:r>
          </w:p>
        </w:tc>
        <w:tc>
          <w:tcPr>
            <w:tcW w:w="406"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14.36</w:t>
            </w:r>
          </w:p>
        </w:tc>
      </w:tr>
      <w:tr>
        <w:tblPrEx>
          <w:tblCellMar>
            <w:top w:w="0" w:type="dxa"/>
            <w:left w:w="108" w:type="dxa"/>
            <w:bottom w:w="0" w:type="dxa"/>
            <w:right w:w="108" w:type="dxa"/>
          </w:tblCellMar>
        </w:tblPrEx>
        <w:trPr>
          <w:trHeight w:val="259"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30108</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机关事业单位基本养老保险缴费</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205.78</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30206</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5.96</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31003</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专用设备购置</w:t>
            </w:r>
          </w:p>
        </w:tc>
        <w:tc>
          <w:tcPr>
            <w:tcW w:w="406"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kern w:val="0"/>
                <w:sz w:val="18"/>
                <w:szCs w:val="18"/>
              </w:rPr>
            </w:pPr>
          </w:p>
        </w:tc>
      </w:tr>
      <w:tr>
        <w:tblPrEx>
          <w:tblCellMar>
            <w:top w:w="0" w:type="dxa"/>
            <w:left w:w="108" w:type="dxa"/>
            <w:bottom w:w="0" w:type="dxa"/>
            <w:right w:w="108" w:type="dxa"/>
          </w:tblCellMar>
        </w:tblPrEx>
        <w:trPr>
          <w:trHeight w:val="263"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30109</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职业年金缴费</w:t>
            </w: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30207</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邮电费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0.67</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31005</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基础设施建设</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63"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30110</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职工基本医疗保险缴费</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107.70</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30208</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取暖费</w:t>
            </w:r>
          </w:p>
        </w:tc>
        <w:tc>
          <w:tcPr>
            <w:tcW w:w="403"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31006</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大型修缮</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65"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30111</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公务员医疗补助缴费</w:t>
            </w: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30209</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8.50</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31007</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信息网络及软件购置更新</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53"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30112</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其他社会保障缴费</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14.46</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30211</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差旅费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43.05</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31008</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物资储备</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21"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30113</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158.23</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30212</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因公出国（境）费用</w:t>
            </w:r>
          </w:p>
        </w:tc>
        <w:tc>
          <w:tcPr>
            <w:tcW w:w="403"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31009</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土地补偿</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16"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30114</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w:t>
            </w: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30213</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维修（护）费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13.33</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31010</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安置补助</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44"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30199</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其他工资福利支出</w:t>
            </w: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30214</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租赁费</w:t>
            </w:r>
          </w:p>
        </w:tc>
        <w:tc>
          <w:tcPr>
            <w:tcW w:w="403"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31011</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地上附着物和青苗补偿</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28"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对个人和家庭的补助</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222.50</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30215</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会议费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10.09</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31012</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拆迁补偿</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300"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30301</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离休费</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10.02</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30216</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培训费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4.47</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31013</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公务用车购置</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188"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30302</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退休费</w:t>
            </w: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30217</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公务接待费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18.56</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31019</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其他交通工具购置</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63"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30303</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退职（役）费</w:t>
            </w: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30218</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专用材料费</w:t>
            </w:r>
          </w:p>
        </w:tc>
        <w:tc>
          <w:tcPr>
            <w:tcW w:w="403"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31021</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文物和陈列品购置</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34"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30304</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抚恤金</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8.01</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30224</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被装购置费</w:t>
            </w:r>
          </w:p>
        </w:tc>
        <w:tc>
          <w:tcPr>
            <w:tcW w:w="403"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31022</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无形资产购置</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35"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30305</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生活补助</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14.67</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30225</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专用燃料费</w:t>
            </w:r>
          </w:p>
        </w:tc>
        <w:tc>
          <w:tcPr>
            <w:tcW w:w="403"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31099</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其他资本性支出</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198"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30306</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救济费</w:t>
            </w: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30226</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劳务费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5.20</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其他支出</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82"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30307</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医疗费补助</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1.13</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30227</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委托业务费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71.00</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39906</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赠与</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44"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30308</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助学金</w:t>
            </w: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30228</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工会经费</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59.68</w:t>
            </w: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39907</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国家赔偿费用支出</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192"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30309</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奖励金</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127.12</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30229</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福利费</w:t>
            </w:r>
          </w:p>
        </w:tc>
        <w:tc>
          <w:tcPr>
            <w:tcW w:w="403"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39908</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对民间非营利组织和群众性自治组织补贴</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319"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30310</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个人农业生产补贴</w:t>
            </w: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30231</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公务用车运行维护费</w:t>
            </w:r>
          </w:p>
        </w:tc>
        <w:tc>
          <w:tcPr>
            <w:tcW w:w="403"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89"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39999</w:t>
            </w:r>
          </w:p>
        </w:tc>
        <w:tc>
          <w:tcPr>
            <w:tcW w:w="1176"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其他支出</w:t>
            </w: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54"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30311</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代缴社会保险费</w:t>
            </w: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30239</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其他交通费用</w:t>
            </w:r>
          </w:p>
        </w:tc>
        <w:tc>
          <w:tcPr>
            <w:tcW w:w="403"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89" w:type="pct"/>
            <w:tcBorders>
              <w:top w:val="nil"/>
              <w:left w:val="nil"/>
              <w:bottom w:val="single" w:color="000000" w:sz="4" w:space="0"/>
              <w:right w:val="single" w:color="000000" w:sz="4" w:space="0"/>
            </w:tcBorders>
            <w:noWrap/>
            <w:vAlign w:val="center"/>
          </w:tcPr>
          <w:p>
            <w:pPr>
              <w:jc w:val="left"/>
              <w:rPr>
                <w:rFonts w:ascii="宋体" w:cs="宋体"/>
                <w:color w:val="000000"/>
                <w:sz w:val="18"/>
                <w:szCs w:val="18"/>
              </w:rPr>
            </w:pPr>
          </w:p>
        </w:tc>
        <w:tc>
          <w:tcPr>
            <w:tcW w:w="1176" w:type="pct"/>
            <w:tcBorders>
              <w:top w:val="nil"/>
              <w:left w:val="nil"/>
              <w:bottom w:val="single" w:color="000000" w:sz="4" w:space="0"/>
              <w:right w:val="single" w:color="000000" w:sz="4" w:space="0"/>
            </w:tcBorders>
            <w:noWrap/>
            <w:vAlign w:val="center"/>
          </w:tcPr>
          <w:p>
            <w:pPr>
              <w:jc w:val="left"/>
              <w:rPr>
                <w:rFonts w:ascii="宋体" w:cs="宋体"/>
                <w:color w:val="000000"/>
                <w:sz w:val="18"/>
                <w:szCs w:val="18"/>
              </w:rPr>
            </w:pP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72" w:hRule="atLeast"/>
        </w:trPr>
        <w:tc>
          <w:tcPr>
            <w:tcW w:w="304"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30399</w:t>
            </w:r>
          </w:p>
        </w:tc>
        <w:tc>
          <w:tcPr>
            <w:tcW w:w="99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其他对个人和家庭的补助</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61.55</w:t>
            </w: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30240</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税金及附加费用</w:t>
            </w:r>
          </w:p>
        </w:tc>
        <w:tc>
          <w:tcPr>
            <w:tcW w:w="403"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89" w:type="pct"/>
            <w:tcBorders>
              <w:top w:val="nil"/>
              <w:left w:val="nil"/>
              <w:bottom w:val="single" w:color="000000" w:sz="4" w:space="0"/>
              <w:right w:val="single" w:color="000000" w:sz="4" w:space="0"/>
            </w:tcBorders>
            <w:noWrap/>
            <w:vAlign w:val="center"/>
          </w:tcPr>
          <w:p>
            <w:pPr>
              <w:jc w:val="left"/>
              <w:rPr>
                <w:rFonts w:ascii="宋体" w:cs="宋体"/>
                <w:color w:val="000000"/>
                <w:sz w:val="18"/>
                <w:szCs w:val="18"/>
              </w:rPr>
            </w:pPr>
          </w:p>
        </w:tc>
        <w:tc>
          <w:tcPr>
            <w:tcW w:w="1176" w:type="pct"/>
            <w:tcBorders>
              <w:top w:val="nil"/>
              <w:left w:val="nil"/>
              <w:bottom w:val="single" w:color="000000" w:sz="4" w:space="0"/>
              <w:right w:val="single" w:color="000000" w:sz="4" w:space="0"/>
            </w:tcBorders>
            <w:noWrap/>
            <w:vAlign w:val="center"/>
          </w:tcPr>
          <w:p>
            <w:pPr>
              <w:jc w:val="left"/>
              <w:rPr>
                <w:rFonts w:ascii="宋体" w:cs="宋体"/>
                <w:color w:val="000000"/>
                <w:sz w:val="18"/>
                <w:szCs w:val="18"/>
              </w:rPr>
            </w:pP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197" w:hRule="atLeast"/>
        </w:trPr>
        <w:tc>
          <w:tcPr>
            <w:tcW w:w="304" w:type="pct"/>
            <w:tcBorders>
              <w:top w:val="nil"/>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98" w:type="pct"/>
            <w:tcBorders>
              <w:top w:val="nil"/>
              <w:left w:val="nil"/>
              <w:bottom w:val="single" w:color="000000" w:sz="4" w:space="0"/>
              <w:right w:val="single" w:color="000000" w:sz="4" w:space="0"/>
            </w:tcBorders>
            <w:noWrap/>
            <w:vAlign w:val="center"/>
          </w:tcPr>
          <w:p>
            <w:pPr>
              <w:jc w:val="left"/>
              <w:rPr>
                <w:rFonts w:ascii="宋体" w:cs="宋体"/>
                <w:color w:val="000000"/>
                <w:sz w:val="18"/>
                <w:szCs w:val="18"/>
              </w:rPr>
            </w:pPr>
          </w:p>
        </w:tc>
        <w:tc>
          <w:tcPr>
            <w:tcW w:w="350"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c>
          <w:tcPr>
            <w:tcW w:w="302"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30299</w:t>
            </w:r>
          </w:p>
        </w:tc>
        <w:tc>
          <w:tcPr>
            <w:tcW w:w="668" w:type="pct"/>
            <w:tcBorders>
              <w:top w:val="nil"/>
              <w:left w:val="nil"/>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其他商品和服务支出</w:t>
            </w:r>
          </w:p>
        </w:tc>
        <w:tc>
          <w:tcPr>
            <w:tcW w:w="403"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107.52</w:t>
            </w:r>
          </w:p>
        </w:tc>
        <w:tc>
          <w:tcPr>
            <w:tcW w:w="389" w:type="pct"/>
            <w:tcBorders>
              <w:top w:val="nil"/>
              <w:left w:val="nil"/>
              <w:bottom w:val="single" w:color="000000" w:sz="4" w:space="0"/>
              <w:right w:val="single" w:color="000000" w:sz="4" w:space="0"/>
            </w:tcBorders>
            <w:noWrap/>
            <w:vAlign w:val="center"/>
          </w:tcPr>
          <w:p>
            <w:pPr>
              <w:jc w:val="left"/>
              <w:rPr>
                <w:rFonts w:ascii="宋体" w:cs="宋体"/>
                <w:color w:val="000000"/>
                <w:sz w:val="18"/>
                <w:szCs w:val="18"/>
              </w:rPr>
            </w:pPr>
          </w:p>
        </w:tc>
        <w:tc>
          <w:tcPr>
            <w:tcW w:w="1176" w:type="pct"/>
            <w:tcBorders>
              <w:top w:val="nil"/>
              <w:left w:val="nil"/>
              <w:bottom w:val="single" w:color="000000" w:sz="4" w:space="0"/>
              <w:right w:val="single" w:color="000000" w:sz="4" w:space="0"/>
            </w:tcBorders>
            <w:noWrap/>
            <w:vAlign w:val="center"/>
          </w:tcPr>
          <w:p>
            <w:pPr>
              <w:jc w:val="left"/>
              <w:rPr>
                <w:rFonts w:ascii="宋体" w:cs="宋体"/>
                <w:color w:val="000000"/>
                <w:sz w:val="18"/>
                <w:szCs w:val="18"/>
              </w:rPr>
            </w:pPr>
          </w:p>
        </w:tc>
        <w:tc>
          <w:tcPr>
            <w:tcW w:w="406" w:type="pct"/>
            <w:tcBorders>
              <w:top w:val="nil"/>
              <w:left w:val="nil"/>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301" w:hRule="atLeast"/>
        </w:trPr>
        <w:tc>
          <w:tcPr>
            <w:tcW w:w="1302" w:type="pct"/>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人员经费合计</w:t>
            </w:r>
          </w:p>
        </w:tc>
        <w:tc>
          <w:tcPr>
            <w:tcW w:w="350"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2,141.45</w:t>
            </w:r>
          </w:p>
        </w:tc>
        <w:tc>
          <w:tcPr>
            <w:tcW w:w="2940" w:type="pct"/>
            <w:gridSpan w:val="5"/>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公用经费合计</w:t>
            </w:r>
          </w:p>
        </w:tc>
        <w:tc>
          <w:tcPr>
            <w:tcW w:w="406" w:type="pct"/>
            <w:tcBorders>
              <w:top w:val="nil"/>
              <w:left w:val="nil"/>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423.11</w:t>
            </w:r>
          </w:p>
        </w:tc>
      </w:tr>
    </w:tbl>
    <w:p>
      <w:pPr>
        <w:widowControl/>
        <w:rPr>
          <w:rFonts w:ascii="Times New Roman" w:hAnsi="Times New Roman" w:eastAsia="方正小标宋_GBK"/>
          <w:color w:val="000000"/>
          <w:kern w:val="0"/>
          <w:sz w:val="36"/>
          <w:szCs w:val="36"/>
        </w:rPr>
      </w:pPr>
      <w:r>
        <w:rPr>
          <w:rFonts w:hint="eastAsia" w:ascii="宋体" w:hAnsi="宋体" w:cs="宋体"/>
          <w:color w:val="000000"/>
          <w:kern w:val="0"/>
          <w:szCs w:val="24"/>
        </w:rPr>
        <w:t>注：本表反映部门本年度一般公共预算财政拨款基本支出明细情况。</w:t>
      </w: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p>
    <w:p>
      <w:pPr>
        <w:widowControl/>
        <w:jc w:val="center"/>
        <w:rPr>
          <w:rFonts w:ascii="Times New Roman" w:hAnsi="Times New Roman" w:eastAsia="方正小标宋_GBK"/>
          <w:color w:val="000000"/>
          <w:kern w:val="0"/>
          <w:sz w:val="36"/>
          <w:szCs w:val="36"/>
        </w:rPr>
      </w:pPr>
      <w:r>
        <w:rPr>
          <w:rFonts w:hint="eastAsia" w:ascii="Times New Roman" w:hAnsi="Times New Roman" w:eastAsia="方正小标宋_GBK"/>
          <w:color w:val="000000"/>
          <w:kern w:val="0"/>
          <w:sz w:val="36"/>
          <w:szCs w:val="36"/>
        </w:rPr>
        <w:t>一般公共预算财政拨款“三公”经费支出决算表</w:t>
      </w:r>
    </w:p>
    <w:p>
      <w:pPr>
        <w:widowControl/>
        <w:ind w:left="14070" w:leftChars="300" w:hanging="13440" w:hangingChars="64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部门：沅江市农业农村局</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07</w:t>
      </w:r>
      <w:r>
        <w:rPr>
          <w:rFonts w:hint="eastAsia" w:ascii="Times New Roman" w:hAnsi="Times New Roman" w:eastAsia="仿宋_GB2312"/>
          <w:color w:val="000000"/>
          <w:kern w:val="0"/>
          <w:szCs w:val="21"/>
        </w:rPr>
        <w:t>表</w:t>
      </w:r>
    </w:p>
    <w:p>
      <w:pPr>
        <w:widowControl/>
        <w:ind w:right="420"/>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公务用车</w:t>
            </w:r>
          </w:p>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20.00</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p>
        </w:tc>
        <w:tc>
          <w:tcPr>
            <w:tcW w:w="1220" w:type="dxa"/>
            <w:tcBorders>
              <w:top w:val="nil"/>
              <w:left w:val="nil"/>
              <w:bottom w:val="single" w:color="auto" w:sz="8" w:space="0"/>
              <w:right w:val="single" w:color="auto"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20.00</w:t>
            </w:r>
          </w:p>
        </w:tc>
        <w:tc>
          <w:tcPr>
            <w:tcW w:w="1220" w:type="dxa"/>
            <w:tcBorders>
              <w:top w:val="nil"/>
              <w:left w:val="nil"/>
              <w:bottom w:val="single" w:color="auto" w:sz="8" w:space="0"/>
              <w:right w:val="single" w:color="auto" w:sz="4"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18.56</w:t>
            </w: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p>
        </w:tc>
        <w:tc>
          <w:tcPr>
            <w:tcW w:w="1220" w:type="dxa"/>
            <w:tcBorders>
              <w:top w:val="nil"/>
              <w:left w:val="nil"/>
              <w:bottom w:val="single" w:color="auto" w:sz="8" w:space="0"/>
              <w:right w:val="single" w:color="auto" w:sz="4" w:space="0"/>
            </w:tcBorders>
            <w:vAlign w:val="center"/>
          </w:tcPr>
          <w:p>
            <w:pPr>
              <w:widowControl/>
              <w:jc w:val="center"/>
              <w:rPr>
                <w:rFonts w:ascii="Times New Roman" w:hAnsi="Times New Roman" w:eastAsia="仿宋_GB2312"/>
                <w:kern w:val="0"/>
                <w:szCs w:val="21"/>
              </w:rPr>
            </w:pPr>
          </w:p>
        </w:tc>
        <w:tc>
          <w:tcPr>
            <w:tcW w:w="1220" w:type="dxa"/>
            <w:tcBorders>
              <w:top w:val="nil"/>
              <w:left w:val="nil"/>
              <w:bottom w:val="single" w:color="auto" w:sz="8" w:space="0"/>
              <w:right w:val="nil"/>
            </w:tcBorders>
            <w:vAlign w:val="center"/>
          </w:tcPr>
          <w:p>
            <w:pPr>
              <w:widowControl/>
              <w:jc w:val="center"/>
              <w:rPr>
                <w:rFonts w:ascii="Times New Roman" w:hAnsi="Times New Roman" w:eastAsia="仿宋_GB2312"/>
                <w:kern w:val="0"/>
                <w:szCs w:val="21"/>
              </w:rPr>
            </w:pPr>
          </w:p>
        </w:tc>
        <w:tc>
          <w:tcPr>
            <w:tcW w:w="1220" w:type="dxa"/>
            <w:tcBorders>
              <w:top w:val="nil"/>
              <w:left w:val="single" w:color="auto" w:sz="4" w:space="0"/>
              <w:bottom w:val="single" w:color="auto" w:sz="8" w:space="0"/>
              <w:right w:val="single" w:color="auto" w:sz="8" w:space="0"/>
            </w:tcBorders>
            <w:vAlign w:val="center"/>
          </w:tcPr>
          <w:p>
            <w:pPr>
              <w:widowControl/>
              <w:jc w:val="center"/>
              <w:textAlignment w:val="center"/>
              <w:rPr>
                <w:rFonts w:ascii="宋体" w:cs="宋体"/>
                <w:color w:val="000000"/>
                <w:sz w:val="22"/>
              </w:rPr>
            </w:pPr>
            <w:r>
              <w:rPr>
                <w:rFonts w:ascii="宋体" w:hAnsi="宋体" w:cs="宋体"/>
                <w:color w:val="000000"/>
                <w:kern w:val="0"/>
                <w:sz w:val="22"/>
              </w:rPr>
              <w:t>18.56</w:t>
            </w:r>
          </w:p>
        </w:tc>
      </w:tr>
    </w:tbl>
    <w:p>
      <w:pPr>
        <w:widowControl/>
        <w:jc w:val="left"/>
        <w:rPr>
          <w:rFonts w:ascii="宋体" w:cs="宋体"/>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宋体"/>
          <w:kern w:val="0"/>
          <w:sz w:val="24"/>
          <w:szCs w:val="24"/>
        </w:rPr>
        <w:br w:type="page"/>
      </w:r>
    </w:p>
    <w:p>
      <w:pPr>
        <w:autoSpaceDE w:val="0"/>
        <w:autoSpaceDN w:val="0"/>
        <w:adjustRightInd w:val="0"/>
        <w:ind w:left="315" w:leftChars="150"/>
        <w:jc w:val="left"/>
        <w:rPr>
          <w:rFonts w:ascii="宋体" w:cs="宋体"/>
          <w:kern w:val="0"/>
          <w:sz w:val="24"/>
          <w:szCs w:val="24"/>
        </w:rPr>
      </w:pPr>
    </w:p>
    <w:p>
      <w:pPr>
        <w:widowControl/>
        <w:jc w:val="center"/>
        <w:rPr>
          <w:rFonts w:ascii="Times New Roman" w:hAnsi="Times New Roman" w:eastAsia="方正小标宋_GBK"/>
          <w:kern w:val="0"/>
          <w:sz w:val="36"/>
          <w:szCs w:val="36"/>
        </w:rPr>
      </w:pPr>
      <w:r>
        <w:rPr>
          <w:rFonts w:hint="eastAsia" w:ascii="Times New Roman" w:hAnsi="Times New Roman" w:eastAsia="方正小标宋_GBK"/>
          <w:kern w:val="0"/>
          <w:sz w:val="36"/>
          <w:szCs w:val="36"/>
        </w:rPr>
        <w:t>政府性基金预算财政拨款收入支出决算表</w:t>
      </w:r>
    </w:p>
    <w:p>
      <w:pPr>
        <w:widowControl/>
        <w:wordWrap w:val="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部门：沅江市农业农村局</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公开</w:t>
      </w:r>
      <w:r>
        <w:rPr>
          <w:rFonts w:ascii="Times New Roman" w:hAnsi="Times New Roman" w:eastAsia="仿宋_GB2312"/>
          <w:color w:val="000000"/>
          <w:kern w:val="0"/>
          <w:szCs w:val="21"/>
        </w:rPr>
        <w:t>08</w:t>
      </w:r>
      <w:r>
        <w:rPr>
          <w:rFonts w:hint="eastAsia" w:ascii="Times New Roman" w:hAnsi="Times New Roman" w:eastAsia="仿宋_GB2312"/>
          <w:color w:val="000000"/>
          <w:kern w:val="0"/>
          <w:szCs w:val="21"/>
        </w:rPr>
        <w:t>表</w:t>
      </w:r>
    </w:p>
    <w:p>
      <w:pPr>
        <w:widowControl/>
        <w:jc w:val="righ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2750"/>
        <w:gridCol w:w="1275"/>
        <w:gridCol w:w="1295"/>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0" w:type="dxa"/>
            <w:gridSpan w:val="2"/>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w:t>
            </w:r>
            <w:r>
              <w:rPr>
                <w:rFonts w:ascii="Times New Roman" w:hAnsi="Times New Roman" w:eastAsia="仿宋_GB2312"/>
                <w:b/>
                <w:kern w:val="0"/>
                <w:szCs w:val="21"/>
              </w:rPr>
              <w:t xml:space="preserve"> </w:t>
            </w:r>
            <w:r>
              <w:rPr>
                <w:rFonts w:ascii="Times New Roman" w:hAnsi="Times New Roman" w:eastAsia="仿宋_GB2312"/>
                <w:b/>
                <w:color w:val="000000"/>
                <w:kern w:val="0"/>
                <w:szCs w:val="21"/>
              </w:rPr>
              <w:t xml:space="preserve">   </w:t>
            </w:r>
            <w:r>
              <w:rPr>
                <w:rFonts w:hint="eastAsia" w:ascii="Times New Roman" w:hAnsi="Times New Roman" w:eastAsia="仿宋_GB2312"/>
                <w:b/>
                <w:kern w:val="0"/>
                <w:szCs w:val="21"/>
              </w:rPr>
              <w:t>目</w:t>
            </w:r>
          </w:p>
        </w:tc>
        <w:tc>
          <w:tcPr>
            <w:tcW w:w="1275"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年初结转和结余</w:t>
            </w:r>
          </w:p>
        </w:tc>
        <w:tc>
          <w:tcPr>
            <w:tcW w:w="1295"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本年收入</w:t>
            </w:r>
          </w:p>
        </w:tc>
        <w:tc>
          <w:tcPr>
            <w:tcW w:w="6000" w:type="dxa"/>
            <w:gridSpan w:val="3"/>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本年支出</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功能分类科目编码</w:t>
            </w:r>
          </w:p>
        </w:tc>
        <w:tc>
          <w:tcPr>
            <w:tcW w:w="275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科目名称</w:t>
            </w:r>
          </w:p>
        </w:tc>
        <w:tc>
          <w:tcPr>
            <w:tcW w:w="1275" w:type="dxa"/>
            <w:vMerge w:val="continue"/>
            <w:vAlign w:val="center"/>
          </w:tcPr>
          <w:p>
            <w:pPr>
              <w:widowControl/>
              <w:jc w:val="left"/>
              <w:rPr>
                <w:rFonts w:ascii="Times New Roman" w:hAnsi="Times New Roman" w:eastAsia="仿宋_GB2312"/>
                <w:b/>
                <w:kern w:val="0"/>
                <w:szCs w:val="21"/>
              </w:rPr>
            </w:pPr>
          </w:p>
        </w:tc>
        <w:tc>
          <w:tcPr>
            <w:tcW w:w="1295" w:type="dxa"/>
            <w:vMerge w:val="continue"/>
            <w:vAlign w:val="center"/>
          </w:tcPr>
          <w:p>
            <w:pPr>
              <w:widowControl/>
              <w:jc w:val="left"/>
              <w:rPr>
                <w:rFonts w:ascii="Times New Roman" w:hAnsi="Times New Roman" w:eastAsia="仿宋_GB2312"/>
                <w:b/>
                <w:kern w:val="0"/>
                <w:szCs w:val="21"/>
              </w:rPr>
            </w:pP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小计</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基本支出</w:t>
            </w:r>
            <w:r>
              <w:rPr>
                <w:rFonts w:ascii="Times New Roman" w:hAnsi="Times New Roman" w:eastAsia="仿宋_GB2312"/>
                <w:b/>
                <w:kern w:val="0"/>
                <w:szCs w:val="21"/>
              </w:rPr>
              <w:t xml:space="preserve">  </w:t>
            </w:r>
          </w:p>
        </w:tc>
        <w:tc>
          <w:tcPr>
            <w:tcW w:w="2000" w:type="dxa"/>
            <w:vMerge w:val="restart"/>
            <w:vAlign w:val="center"/>
          </w:tcPr>
          <w:p>
            <w:pPr>
              <w:widowControl/>
              <w:jc w:val="center"/>
              <w:rPr>
                <w:rFonts w:ascii="Times New Roman" w:hAnsi="Times New Roman" w:eastAsia="仿宋_GB2312"/>
                <w:b/>
                <w:kern w:val="0"/>
                <w:szCs w:val="21"/>
              </w:rPr>
            </w:pPr>
            <w:r>
              <w:rPr>
                <w:rFonts w:hint="eastAsia" w:ascii="Times New Roman" w:hAnsi="Times New Roman" w:eastAsia="仿宋_GB2312"/>
                <w:b/>
                <w:kern w:val="0"/>
                <w:szCs w:val="21"/>
              </w:rPr>
              <w:t>项目支出</w:t>
            </w:r>
          </w:p>
        </w:tc>
        <w:tc>
          <w:tcPr>
            <w:tcW w:w="2000" w:type="dxa"/>
            <w:vMerge w:val="continue"/>
            <w:vAlign w:val="center"/>
          </w:tcPr>
          <w:p>
            <w:pPr>
              <w:widowControl/>
              <w:jc w:val="left"/>
              <w:rPr>
                <w:rFonts w:ascii="Times New Roman" w:hAnsi="Times New Roman"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kern w:val="0"/>
                <w:szCs w:val="21"/>
              </w:rPr>
            </w:pPr>
          </w:p>
        </w:tc>
        <w:tc>
          <w:tcPr>
            <w:tcW w:w="2750" w:type="dxa"/>
            <w:vMerge w:val="continue"/>
            <w:vAlign w:val="center"/>
          </w:tcPr>
          <w:p>
            <w:pPr>
              <w:widowControl/>
              <w:jc w:val="left"/>
              <w:rPr>
                <w:rFonts w:ascii="Times New Roman" w:hAnsi="Times New Roman" w:eastAsia="仿宋_GB2312"/>
                <w:kern w:val="0"/>
                <w:szCs w:val="21"/>
              </w:rPr>
            </w:pPr>
          </w:p>
        </w:tc>
        <w:tc>
          <w:tcPr>
            <w:tcW w:w="1275" w:type="dxa"/>
            <w:vMerge w:val="continue"/>
            <w:vAlign w:val="center"/>
          </w:tcPr>
          <w:p>
            <w:pPr>
              <w:widowControl/>
              <w:jc w:val="left"/>
              <w:rPr>
                <w:rFonts w:ascii="Times New Roman" w:hAnsi="Times New Roman" w:eastAsia="仿宋_GB2312"/>
                <w:kern w:val="0"/>
                <w:szCs w:val="21"/>
              </w:rPr>
            </w:pPr>
          </w:p>
        </w:tc>
        <w:tc>
          <w:tcPr>
            <w:tcW w:w="1295"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kern w:val="0"/>
                <w:szCs w:val="21"/>
              </w:rPr>
            </w:pPr>
          </w:p>
        </w:tc>
        <w:tc>
          <w:tcPr>
            <w:tcW w:w="2750" w:type="dxa"/>
            <w:vMerge w:val="continue"/>
            <w:vAlign w:val="center"/>
          </w:tcPr>
          <w:p>
            <w:pPr>
              <w:widowControl/>
              <w:jc w:val="left"/>
              <w:rPr>
                <w:rFonts w:ascii="Times New Roman" w:hAnsi="Times New Roman" w:eastAsia="仿宋_GB2312"/>
                <w:kern w:val="0"/>
                <w:szCs w:val="21"/>
              </w:rPr>
            </w:pPr>
          </w:p>
        </w:tc>
        <w:tc>
          <w:tcPr>
            <w:tcW w:w="1275" w:type="dxa"/>
            <w:vMerge w:val="continue"/>
            <w:vAlign w:val="center"/>
          </w:tcPr>
          <w:p>
            <w:pPr>
              <w:widowControl/>
              <w:jc w:val="left"/>
              <w:rPr>
                <w:rFonts w:ascii="Times New Roman" w:hAnsi="Times New Roman" w:eastAsia="仿宋_GB2312"/>
                <w:kern w:val="0"/>
                <w:szCs w:val="21"/>
              </w:rPr>
            </w:pPr>
          </w:p>
        </w:tc>
        <w:tc>
          <w:tcPr>
            <w:tcW w:w="1295"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c>
          <w:tcPr>
            <w:tcW w:w="2000" w:type="dxa"/>
            <w:vMerge w:val="continue"/>
            <w:vAlign w:val="center"/>
          </w:tcPr>
          <w:p>
            <w:pPr>
              <w:widowControl/>
              <w:jc w:val="left"/>
              <w:rPr>
                <w:rFonts w:ascii="Times New Roman" w:hAnsi="Times New Roman"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0" w:type="dxa"/>
            <w:gridSpan w:val="2"/>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栏次</w:t>
            </w:r>
          </w:p>
        </w:tc>
        <w:tc>
          <w:tcPr>
            <w:tcW w:w="127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1</w:t>
            </w:r>
          </w:p>
        </w:tc>
        <w:tc>
          <w:tcPr>
            <w:tcW w:w="129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4</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5</w:t>
            </w:r>
          </w:p>
        </w:tc>
        <w:tc>
          <w:tcPr>
            <w:tcW w:w="2000"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870" w:type="dxa"/>
            <w:gridSpan w:val="2"/>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合计</w:t>
            </w:r>
          </w:p>
        </w:tc>
        <w:tc>
          <w:tcPr>
            <w:tcW w:w="1275"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c>
          <w:tcPr>
            <w:tcW w:w="1295" w:type="dxa"/>
            <w:vAlign w:val="center"/>
          </w:tcPr>
          <w:p>
            <w:pPr>
              <w:widowControl/>
              <w:jc w:val="center"/>
              <w:textAlignment w:val="center"/>
              <w:rPr>
                <w:rFonts w:ascii="宋体" w:cs="宋体"/>
                <w:color w:val="000000"/>
                <w:sz w:val="22"/>
              </w:rPr>
            </w:pPr>
            <w:r>
              <w:rPr>
                <w:rFonts w:ascii="宋体" w:hAnsi="宋体" w:cs="宋体"/>
                <w:color w:val="000000"/>
                <w:kern w:val="0"/>
                <w:sz w:val="22"/>
              </w:rPr>
              <w:t>1,138.00</w:t>
            </w: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1,138.00</w:t>
            </w:r>
          </w:p>
        </w:tc>
        <w:tc>
          <w:tcPr>
            <w:tcW w:w="2000" w:type="dxa"/>
            <w:vAlign w:val="center"/>
          </w:tcPr>
          <w:p>
            <w:pPr>
              <w:widowControl/>
              <w:jc w:val="center"/>
              <w:rPr>
                <w:rFonts w:ascii="Times New Roman" w:hAnsi="Times New Roman" w:eastAsia="仿宋_GB2312"/>
                <w:kern w:val="0"/>
                <w:szCs w:val="21"/>
              </w:rPr>
            </w:pP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1,138.00</w:t>
            </w:r>
          </w:p>
        </w:tc>
        <w:tc>
          <w:tcPr>
            <w:tcW w:w="2000" w:type="dxa"/>
            <w:vAlign w:val="center"/>
          </w:tcPr>
          <w:p>
            <w:pPr>
              <w:widowControl/>
              <w:jc w:val="center"/>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212</w:t>
            </w:r>
          </w:p>
        </w:tc>
        <w:tc>
          <w:tcPr>
            <w:tcW w:w="2750" w:type="dxa"/>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　城乡社区支出</w:t>
            </w:r>
          </w:p>
        </w:tc>
        <w:tc>
          <w:tcPr>
            <w:tcW w:w="1275"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1295" w:type="dxa"/>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2000" w:type="dxa"/>
            <w:vAlign w:val="center"/>
          </w:tcPr>
          <w:p>
            <w:pPr>
              <w:widowControl/>
              <w:jc w:val="center"/>
              <w:rPr>
                <w:rFonts w:ascii="Times New Roman" w:hAnsi="Times New Roman" w:eastAsia="仿宋_GB2312"/>
                <w:kern w:val="0"/>
                <w:szCs w:val="21"/>
              </w:rPr>
            </w:pP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1120"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21208</w:t>
            </w:r>
            <w:r>
              <w:rPr>
                <w:rFonts w:hint="eastAsia" w:ascii="Times New Roman" w:hAnsi="Times New Roman" w:eastAsia="仿宋_GB2312"/>
                <w:kern w:val="0"/>
                <w:szCs w:val="21"/>
              </w:rPr>
              <w:t>　</w:t>
            </w:r>
          </w:p>
        </w:tc>
        <w:tc>
          <w:tcPr>
            <w:tcW w:w="2750" w:type="dxa"/>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　国有土地使用权出让收入安排的支出</w:t>
            </w:r>
          </w:p>
        </w:tc>
        <w:tc>
          <w:tcPr>
            <w:tcW w:w="1275"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1295" w:type="dxa"/>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2000" w:type="dxa"/>
            <w:vAlign w:val="center"/>
          </w:tcPr>
          <w:p>
            <w:pPr>
              <w:widowControl/>
              <w:jc w:val="center"/>
              <w:rPr>
                <w:rFonts w:ascii="Times New Roman" w:hAnsi="Times New Roman" w:eastAsia="仿宋_GB2312"/>
                <w:kern w:val="0"/>
                <w:szCs w:val="21"/>
              </w:rPr>
            </w:pP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1,133.00</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2120801</w:t>
            </w:r>
            <w:r>
              <w:rPr>
                <w:rFonts w:hint="eastAsia" w:ascii="Times New Roman" w:hAnsi="Times New Roman" w:eastAsia="仿宋_GB2312"/>
                <w:kern w:val="0"/>
                <w:szCs w:val="21"/>
              </w:rPr>
              <w:t>　</w:t>
            </w:r>
          </w:p>
        </w:tc>
        <w:tc>
          <w:tcPr>
            <w:tcW w:w="2750" w:type="dxa"/>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　征地和拆迁补偿支出</w:t>
            </w:r>
          </w:p>
        </w:tc>
        <w:tc>
          <w:tcPr>
            <w:tcW w:w="1275"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1295" w:type="dxa"/>
            <w:vAlign w:val="center"/>
          </w:tcPr>
          <w:p>
            <w:pPr>
              <w:widowControl/>
              <w:jc w:val="center"/>
              <w:textAlignment w:val="center"/>
              <w:rPr>
                <w:rFonts w:ascii="宋体" w:cs="宋体"/>
                <w:color w:val="000000"/>
                <w:sz w:val="22"/>
              </w:rPr>
            </w:pPr>
            <w:r>
              <w:rPr>
                <w:rFonts w:ascii="宋体" w:hAnsi="宋体" w:cs="宋体"/>
                <w:color w:val="000000"/>
                <w:kern w:val="0"/>
                <w:sz w:val="22"/>
              </w:rPr>
              <w:t>830.00</w:t>
            </w: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830.00</w:t>
            </w:r>
          </w:p>
        </w:tc>
        <w:tc>
          <w:tcPr>
            <w:tcW w:w="2000" w:type="dxa"/>
            <w:vAlign w:val="center"/>
          </w:tcPr>
          <w:p>
            <w:pPr>
              <w:widowControl/>
              <w:jc w:val="center"/>
              <w:rPr>
                <w:rFonts w:ascii="Times New Roman" w:hAnsi="Times New Roman" w:eastAsia="仿宋_GB2312"/>
                <w:kern w:val="0"/>
                <w:szCs w:val="21"/>
              </w:rPr>
            </w:pP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830.00</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2120804</w:t>
            </w:r>
            <w:r>
              <w:rPr>
                <w:rFonts w:hint="eastAsia" w:ascii="Times New Roman" w:hAnsi="Times New Roman" w:eastAsia="仿宋_GB2312"/>
                <w:kern w:val="0"/>
                <w:szCs w:val="21"/>
              </w:rPr>
              <w:t>　</w:t>
            </w:r>
          </w:p>
        </w:tc>
        <w:tc>
          <w:tcPr>
            <w:tcW w:w="2750" w:type="dxa"/>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　</w:t>
            </w:r>
            <w:r>
              <w:rPr>
                <w:rFonts w:ascii="Times New Roman" w:hAnsi="Times New Roman" w:eastAsia="仿宋_GB2312"/>
                <w:kern w:val="0"/>
                <w:szCs w:val="21"/>
              </w:rPr>
              <w:t xml:space="preserve">  </w:t>
            </w:r>
            <w:r>
              <w:rPr>
                <w:rFonts w:hint="eastAsia" w:ascii="Times New Roman" w:hAnsi="Times New Roman" w:eastAsia="仿宋_GB2312"/>
                <w:kern w:val="0"/>
                <w:szCs w:val="21"/>
              </w:rPr>
              <w:t>农村基础设施建设支出</w:t>
            </w:r>
          </w:p>
        </w:tc>
        <w:tc>
          <w:tcPr>
            <w:tcW w:w="1275"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1295" w:type="dxa"/>
            <w:vAlign w:val="center"/>
          </w:tcPr>
          <w:p>
            <w:pPr>
              <w:widowControl/>
              <w:jc w:val="center"/>
              <w:textAlignment w:val="center"/>
              <w:rPr>
                <w:rFonts w:ascii="宋体" w:cs="宋体"/>
                <w:color w:val="000000"/>
                <w:sz w:val="22"/>
              </w:rPr>
            </w:pPr>
            <w:r>
              <w:rPr>
                <w:rFonts w:ascii="宋体" w:hAnsi="宋体" w:cs="宋体"/>
                <w:color w:val="000000"/>
                <w:kern w:val="0"/>
                <w:sz w:val="22"/>
              </w:rPr>
              <w:t>303.00</w:t>
            </w: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303.00</w:t>
            </w:r>
          </w:p>
        </w:tc>
        <w:tc>
          <w:tcPr>
            <w:tcW w:w="2000" w:type="dxa"/>
            <w:vAlign w:val="center"/>
          </w:tcPr>
          <w:p>
            <w:pPr>
              <w:widowControl/>
              <w:jc w:val="center"/>
              <w:rPr>
                <w:rFonts w:ascii="Times New Roman" w:hAnsi="Times New Roman" w:eastAsia="仿宋_GB2312"/>
                <w:kern w:val="0"/>
                <w:szCs w:val="21"/>
              </w:rPr>
            </w:pP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303.00</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229</w:t>
            </w:r>
            <w:r>
              <w:rPr>
                <w:rFonts w:hint="eastAsia" w:ascii="Times New Roman" w:hAnsi="Times New Roman" w:eastAsia="仿宋_GB2312"/>
                <w:kern w:val="0"/>
                <w:szCs w:val="21"/>
              </w:rPr>
              <w:t>　</w:t>
            </w:r>
          </w:p>
        </w:tc>
        <w:tc>
          <w:tcPr>
            <w:tcW w:w="2750" w:type="dxa"/>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　其他支出</w:t>
            </w:r>
          </w:p>
        </w:tc>
        <w:tc>
          <w:tcPr>
            <w:tcW w:w="1275"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1295" w:type="dxa"/>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2000" w:type="dxa"/>
            <w:vAlign w:val="center"/>
          </w:tcPr>
          <w:p>
            <w:pPr>
              <w:widowControl/>
              <w:jc w:val="center"/>
              <w:rPr>
                <w:rFonts w:ascii="Times New Roman" w:hAnsi="Times New Roman" w:eastAsia="仿宋_GB2312"/>
                <w:kern w:val="0"/>
                <w:szCs w:val="21"/>
              </w:rPr>
            </w:pP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22904</w:t>
            </w:r>
            <w:r>
              <w:rPr>
                <w:rFonts w:hint="eastAsia" w:ascii="Times New Roman" w:hAnsi="Times New Roman" w:eastAsia="仿宋_GB2312"/>
                <w:kern w:val="0"/>
                <w:szCs w:val="21"/>
              </w:rPr>
              <w:t>　</w:t>
            </w:r>
          </w:p>
        </w:tc>
        <w:tc>
          <w:tcPr>
            <w:tcW w:w="2750" w:type="dxa"/>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　其他政府性基金及对应专项债务收入安排的支出</w:t>
            </w:r>
          </w:p>
        </w:tc>
        <w:tc>
          <w:tcPr>
            <w:tcW w:w="1275"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c>
          <w:tcPr>
            <w:tcW w:w="1295" w:type="dxa"/>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2000" w:type="dxa"/>
            <w:vAlign w:val="center"/>
          </w:tcPr>
          <w:p>
            <w:pPr>
              <w:widowControl/>
              <w:jc w:val="center"/>
              <w:rPr>
                <w:rFonts w:ascii="Times New Roman" w:hAnsi="Times New Roman" w:eastAsia="仿宋_GB2312"/>
                <w:kern w:val="0"/>
                <w:szCs w:val="21"/>
              </w:rPr>
            </w:pP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2000" w:type="dxa"/>
            <w:vAlign w:val="center"/>
          </w:tcPr>
          <w:p>
            <w:pPr>
              <w:widowControl/>
              <w:jc w:val="left"/>
              <w:rPr>
                <w:rFonts w:ascii="Times New Roman" w:hAnsi="Times New Roman" w:eastAsia="仿宋_GB2312"/>
                <w:kern w:val="0"/>
                <w:szCs w:val="21"/>
              </w:rPr>
            </w:pPr>
            <w:r>
              <w:rPr>
                <w:rFonts w:hint="eastAsia" w:ascii="Times New Roman" w:hAnsi="Times New Roman"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2290401</w:t>
            </w:r>
          </w:p>
        </w:tc>
        <w:tc>
          <w:tcPr>
            <w:tcW w:w="2750" w:type="dxa"/>
            <w:vAlign w:val="center"/>
          </w:tcPr>
          <w:p>
            <w:pPr>
              <w:widowControl/>
              <w:rPr>
                <w:rFonts w:ascii="Times New Roman" w:hAnsi="Times New Roman" w:eastAsia="仿宋_GB2312"/>
                <w:kern w:val="0"/>
                <w:szCs w:val="21"/>
              </w:rPr>
            </w:pPr>
            <w:r>
              <w:rPr>
                <w:rFonts w:hint="eastAsia" w:ascii="Times New Roman" w:hAnsi="Times New Roman" w:eastAsia="仿宋_GB2312"/>
                <w:kern w:val="0"/>
                <w:szCs w:val="21"/>
              </w:rPr>
              <w:t>其他政府性基金安排的支出</w:t>
            </w:r>
          </w:p>
        </w:tc>
        <w:tc>
          <w:tcPr>
            <w:tcW w:w="1275" w:type="dxa"/>
            <w:vAlign w:val="center"/>
          </w:tcPr>
          <w:p>
            <w:pPr>
              <w:widowControl/>
              <w:jc w:val="left"/>
              <w:rPr>
                <w:rFonts w:ascii="Times New Roman" w:hAnsi="Times New Roman" w:eastAsia="仿宋_GB2312"/>
                <w:kern w:val="0"/>
                <w:szCs w:val="21"/>
              </w:rPr>
            </w:pPr>
          </w:p>
        </w:tc>
        <w:tc>
          <w:tcPr>
            <w:tcW w:w="1295" w:type="dxa"/>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2000" w:type="dxa"/>
            <w:vAlign w:val="center"/>
          </w:tcPr>
          <w:p>
            <w:pPr>
              <w:widowControl/>
              <w:jc w:val="center"/>
              <w:rPr>
                <w:rFonts w:ascii="Times New Roman" w:hAnsi="Times New Roman" w:eastAsia="仿宋_GB2312"/>
                <w:kern w:val="0"/>
                <w:szCs w:val="21"/>
              </w:rPr>
            </w:pPr>
          </w:p>
        </w:tc>
        <w:tc>
          <w:tcPr>
            <w:tcW w:w="2000" w:type="dxa"/>
            <w:vAlign w:val="center"/>
          </w:tcPr>
          <w:p>
            <w:pPr>
              <w:widowControl/>
              <w:jc w:val="center"/>
              <w:textAlignment w:val="center"/>
              <w:rPr>
                <w:rFonts w:ascii="宋体" w:cs="宋体"/>
                <w:color w:val="000000"/>
                <w:sz w:val="22"/>
              </w:rPr>
            </w:pPr>
            <w:r>
              <w:rPr>
                <w:rFonts w:ascii="宋体" w:hAnsi="宋体" w:cs="宋体"/>
                <w:color w:val="000000"/>
                <w:kern w:val="0"/>
                <w:sz w:val="22"/>
              </w:rPr>
              <w:t>5.00</w:t>
            </w:r>
          </w:p>
        </w:tc>
        <w:tc>
          <w:tcPr>
            <w:tcW w:w="2000" w:type="dxa"/>
            <w:vAlign w:val="center"/>
          </w:tcPr>
          <w:p>
            <w:pPr>
              <w:widowControl/>
              <w:jc w:val="left"/>
              <w:rPr>
                <w:rFonts w:ascii="Times New Roman" w:hAnsi="Times New Roman" w:eastAsia="仿宋_GB2312"/>
                <w:kern w:val="0"/>
                <w:szCs w:val="21"/>
              </w:rPr>
            </w:pPr>
          </w:p>
        </w:tc>
      </w:tr>
    </w:tbl>
    <w:p>
      <w:pPr>
        <w:widowControl/>
        <w:ind w:firstLine="630" w:firstLineChars="300"/>
        <w:jc w:val="left"/>
        <w:rPr>
          <w:rFonts w:ascii="Times New Roman" w:hAnsi="Times New Roman" w:eastAsia="仿宋_GB2312"/>
          <w:kern w:val="0"/>
          <w:szCs w:val="21"/>
        </w:rPr>
      </w:pPr>
      <w:r>
        <w:rPr>
          <w:rFonts w:hint="eastAsia" w:ascii="Times New Roman" w:hAnsi="Times New Roman" w:eastAsia="仿宋_GB2312"/>
          <w:kern w:val="0"/>
          <w:szCs w:val="21"/>
        </w:rPr>
        <w:t>注：本表反映部门本年度政府性基金预算财政拨款收入、支出及结转和结余情况</w:t>
      </w:r>
    </w:p>
    <w:p>
      <w:pPr>
        <w:widowControl/>
        <w:ind w:firstLine="630" w:firstLineChars="300"/>
        <w:jc w:val="left"/>
        <w:rPr>
          <w:rFonts w:ascii="Times New Roman" w:hAnsi="Times New Roman" w:eastAsia="仿宋_GB2312"/>
          <w:kern w:val="0"/>
          <w:szCs w:val="21"/>
        </w:rPr>
      </w:pPr>
      <w:r>
        <w:rPr>
          <w:rFonts w:ascii="Times New Roman" w:hAnsi="Times New Roman" w:eastAsia="仿宋_GB2312"/>
          <w:kern w:val="0"/>
          <w:szCs w:val="21"/>
        </w:rPr>
        <w:t>(</w:t>
      </w:r>
      <w:r>
        <w:rPr>
          <w:rFonts w:hint="eastAsia" w:ascii="Times New Roman" w:hAnsi="Times New Roman" w:eastAsia="仿宋_GB2312"/>
          <w:kern w:val="0"/>
          <w:szCs w:val="21"/>
        </w:rPr>
        <w:t>若本单位无政府性基金收支</w:t>
      </w:r>
      <w:r>
        <w:rPr>
          <w:rFonts w:ascii="Times New Roman" w:hAnsi="Times New Roman" w:eastAsia="仿宋_GB2312"/>
          <w:kern w:val="0"/>
          <w:szCs w:val="21"/>
        </w:rPr>
        <w:t>,</w:t>
      </w:r>
      <w:r>
        <w:rPr>
          <w:rFonts w:hint="eastAsia" w:ascii="Times New Roman" w:hAnsi="Times New Roman" w:eastAsia="仿宋_GB2312"/>
          <w:kern w:val="0"/>
          <w:szCs w:val="21"/>
        </w:rPr>
        <w:t>请说明：</w:t>
      </w:r>
      <w:r>
        <w:rPr>
          <w:rFonts w:ascii="Times New Roman" w:hAnsi="Times New Roman" w:eastAsia="仿宋_GB2312"/>
          <w:kern w:val="0"/>
          <w:szCs w:val="21"/>
        </w:rPr>
        <w:t>XX</w:t>
      </w:r>
      <w:r>
        <w:rPr>
          <w:rFonts w:hint="eastAsia" w:ascii="Times New Roman" w:hAnsi="Times New Roman" w:eastAsia="仿宋_GB2312"/>
          <w:kern w:val="0"/>
          <w:szCs w:val="21"/>
        </w:rPr>
        <w:t>单位没有政府性基金收入，也没有使用政府性基金安排的支出，故本表无数据</w:t>
      </w:r>
      <w:r>
        <w:rPr>
          <w:rFonts w:ascii="Times New Roman" w:hAnsi="Times New Roman" w:eastAsia="仿宋_GB2312"/>
          <w:kern w:val="0"/>
          <w:szCs w:val="21"/>
        </w:rPr>
        <w:t>)</w:t>
      </w:r>
      <w:r>
        <w:rPr>
          <w:rFonts w:hint="eastAsia" w:ascii="Times New Roman" w:hAnsi="Times New Roman" w:eastAsia="仿宋_GB2312"/>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09</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ascii="宋体" w:hAnsi="宋体" w:cs="宋体"/>
                <w:color w:val="000000"/>
                <w:kern w:val="0"/>
                <w:sz w:val="22"/>
              </w:rPr>
              <w:t xml:space="preserve">   </w:t>
            </w:r>
            <w:r>
              <w:rPr>
                <w:rFonts w:hint="eastAsia" w:ascii="宋体" w:hAnsi="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cs="宋体"/>
                <w:kern w:val="0"/>
                <w:sz w:val="24"/>
                <w:szCs w:val="24"/>
              </w:rPr>
            </w:pPr>
            <w:r>
              <w:rPr>
                <w:rFonts w:hint="eastAsia" w:ascii="宋体" w:hAnsi="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基本支出</w:t>
            </w:r>
            <w:r>
              <w:rPr>
                <w:rFonts w:ascii="宋体" w:hAnsi="宋体" w:cs="宋体"/>
                <w:kern w:val="0"/>
                <w:sz w:val="24"/>
                <w:szCs w:val="24"/>
              </w:rPr>
              <w:t xml:space="preserve">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宋体"/>
                <w:kern w:val="0"/>
                <w:sz w:val="24"/>
                <w:szCs w:val="24"/>
              </w:rPr>
            </w:pPr>
            <w:r>
              <w:rPr>
                <w:rFonts w:hint="eastAsia" w:ascii="宋体" w:hAnsi="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cs="宋体"/>
                <w:kern w:val="0"/>
                <w:sz w:val="24"/>
                <w:szCs w:val="24"/>
              </w:rPr>
            </w:pPr>
            <w:r>
              <w:rPr>
                <w:rFonts w:hint="eastAsia" w:ascii="宋体" w:hAnsi="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ascii="宋体" w:cs="宋体"/>
                <w:kern w:val="0"/>
                <w:sz w:val="24"/>
                <w:szCs w:val="24"/>
              </w:rPr>
            </w:pPr>
            <w:r>
              <w:rPr>
                <w:rFonts w:hint="eastAsia" w:ascii="宋体" w:hAnsi="宋体" w:cs="宋体"/>
                <w:kern w:val="0"/>
                <w:sz w:val="24"/>
                <w:szCs w:val="24"/>
              </w:rPr>
              <w:t>注：本表反映部门本年度国有资本经营预算财政拨款支出情况。</w:t>
            </w:r>
          </w:p>
        </w:tc>
      </w:tr>
    </w:tbl>
    <w:p>
      <w:pPr>
        <w:pStyle w:val="13"/>
        <w:rPr>
          <w:sz w:val="72"/>
          <w:szCs w:val="72"/>
        </w:rPr>
        <w:sectPr>
          <w:pgSz w:w="16838" w:h="11906" w:orient="landscape"/>
          <w:pgMar w:top="720" w:right="567" w:bottom="720" w:left="720" w:header="851" w:footer="992" w:gutter="0"/>
          <w:cols w:space="0" w:num="1"/>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第三部分</w:t>
      </w:r>
    </w:p>
    <w:p>
      <w:pPr>
        <w:pStyle w:val="13"/>
        <w:jc w:val="center"/>
        <w:rPr>
          <w:sz w:val="70"/>
          <w:szCs w:val="70"/>
        </w:rPr>
      </w:pPr>
    </w:p>
    <w:p>
      <w:pPr>
        <w:pStyle w:val="13"/>
        <w:jc w:val="center"/>
        <w:rPr>
          <w:sz w:val="70"/>
          <w:szCs w:val="70"/>
        </w:rPr>
      </w:pPr>
      <w:r>
        <w:rPr>
          <w:sz w:val="70"/>
          <w:szCs w:val="70"/>
        </w:rPr>
        <w:t>2021</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ascii="宋体" w:hAnsi="宋体" w:eastAsia="宋体"/>
          <w:sz w:val="32"/>
          <w:szCs w:val="32"/>
        </w:rPr>
      </w:pPr>
    </w:p>
    <w:p>
      <w:pPr>
        <w:pStyle w:val="13"/>
        <w:rPr>
          <w:rFonts w:hAnsi="黑体"/>
          <w:b/>
          <w:sz w:val="32"/>
          <w:szCs w:val="32"/>
        </w:rPr>
      </w:pPr>
      <w:r>
        <w:rPr>
          <w:rFonts w:hint="eastAsia" w:hAnsi="黑体"/>
          <w:b/>
          <w:sz w:val="32"/>
          <w:szCs w:val="32"/>
        </w:rPr>
        <w:t>一、收入支出决算总体情况说明</w:t>
      </w:r>
    </w:p>
    <w:p>
      <w:pPr>
        <w:pStyle w:val="13"/>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年度收、支总计</w:t>
      </w:r>
      <w:r>
        <w:rPr>
          <w:rFonts w:ascii="宋体" w:hAnsi="宋体" w:eastAsia="宋体"/>
          <w:sz w:val="32"/>
          <w:szCs w:val="32"/>
        </w:rPr>
        <w:t>45034.25</w:t>
      </w:r>
      <w:r>
        <w:rPr>
          <w:rFonts w:hint="eastAsia" w:ascii="宋体" w:hAnsi="宋体" w:eastAsia="宋体"/>
          <w:sz w:val="32"/>
          <w:szCs w:val="32"/>
        </w:rPr>
        <w:t>万元。与上年相比，增加</w:t>
      </w:r>
      <w:r>
        <w:rPr>
          <w:rFonts w:ascii="宋体" w:hAnsi="宋体" w:eastAsia="宋体"/>
          <w:sz w:val="32"/>
          <w:szCs w:val="32"/>
        </w:rPr>
        <w:t>55.15</w:t>
      </w:r>
      <w:r>
        <w:rPr>
          <w:rFonts w:hint="eastAsia" w:ascii="宋体" w:hAnsi="宋体" w:eastAsia="宋体"/>
          <w:sz w:val="32"/>
          <w:szCs w:val="32"/>
        </w:rPr>
        <w:t>万元，增长</w:t>
      </w:r>
      <w:r>
        <w:rPr>
          <w:rFonts w:ascii="宋体" w:hAnsi="宋体" w:eastAsia="宋体"/>
          <w:sz w:val="32"/>
          <w:szCs w:val="32"/>
        </w:rPr>
        <w:t>0.12%</w:t>
      </w:r>
      <w:r>
        <w:rPr>
          <w:rFonts w:hint="eastAsia" w:ascii="宋体" w:hAnsi="宋体" w:eastAsia="宋体"/>
          <w:sz w:val="32"/>
          <w:szCs w:val="32"/>
        </w:rPr>
        <w:t>，主要是因为正常工资调资，机构改革，人员增加。</w:t>
      </w:r>
    </w:p>
    <w:p>
      <w:pPr>
        <w:pStyle w:val="13"/>
        <w:rPr>
          <w:rFonts w:hAnsi="黑体"/>
          <w:b/>
          <w:sz w:val="32"/>
          <w:szCs w:val="32"/>
        </w:rPr>
      </w:pPr>
      <w:r>
        <w:rPr>
          <w:rFonts w:hint="eastAsia" w:hAnsi="黑体"/>
          <w:b/>
          <w:sz w:val="32"/>
          <w:szCs w:val="32"/>
        </w:rPr>
        <w:t>二、收入决算情况说明</w:t>
      </w:r>
    </w:p>
    <w:p>
      <w:pPr>
        <w:pStyle w:val="13"/>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年度收入合计</w:t>
      </w:r>
      <w:r>
        <w:rPr>
          <w:rFonts w:ascii="宋体" w:hAnsi="宋体" w:eastAsia="宋体"/>
          <w:sz w:val="32"/>
          <w:szCs w:val="32"/>
        </w:rPr>
        <w:t>22807.46</w:t>
      </w:r>
      <w:r>
        <w:rPr>
          <w:rFonts w:hint="eastAsia" w:ascii="宋体" w:hAnsi="宋体" w:eastAsia="宋体"/>
          <w:sz w:val="32"/>
          <w:szCs w:val="32"/>
        </w:rPr>
        <w:t>万元，其中：财政拨款收入</w:t>
      </w:r>
      <w:r>
        <w:rPr>
          <w:rFonts w:ascii="宋体" w:hAnsi="宋体" w:eastAsia="宋体"/>
          <w:sz w:val="32"/>
          <w:szCs w:val="32"/>
        </w:rPr>
        <w:t>16034.41</w:t>
      </w:r>
      <w:r>
        <w:rPr>
          <w:rFonts w:hint="eastAsia" w:ascii="宋体" w:hAnsi="宋体" w:eastAsia="宋体"/>
          <w:sz w:val="32"/>
          <w:szCs w:val="32"/>
        </w:rPr>
        <w:t>万元，占</w:t>
      </w:r>
      <w:r>
        <w:rPr>
          <w:rFonts w:ascii="宋体" w:hAnsi="宋体" w:eastAsia="宋体"/>
          <w:sz w:val="32"/>
          <w:szCs w:val="32"/>
        </w:rPr>
        <w:t>70.30%</w:t>
      </w:r>
      <w:r>
        <w:rPr>
          <w:rFonts w:hint="eastAsia" w:ascii="宋体" w:hAnsi="宋体" w:eastAsia="宋体"/>
          <w:sz w:val="32"/>
          <w:szCs w:val="32"/>
        </w:rPr>
        <w:t>；上级补助收入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；事业收入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；经营收入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；附属单位上缴收入</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；政府性基金预算财政拨款收入</w:t>
      </w:r>
      <w:r>
        <w:rPr>
          <w:rFonts w:ascii="宋体" w:hAnsi="宋体" w:eastAsia="宋体"/>
          <w:sz w:val="32"/>
          <w:szCs w:val="32"/>
        </w:rPr>
        <w:t>1138</w:t>
      </w:r>
      <w:r>
        <w:rPr>
          <w:rFonts w:hint="eastAsia" w:ascii="宋体" w:hAnsi="宋体" w:eastAsia="宋体"/>
          <w:sz w:val="32"/>
          <w:szCs w:val="32"/>
        </w:rPr>
        <w:t>万元，占</w:t>
      </w:r>
      <w:r>
        <w:rPr>
          <w:rFonts w:ascii="宋体" w:hAnsi="宋体" w:eastAsia="宋体"/>
          <w:sz w:val="32"/>
          <w:szCs w:val="32"/>
        </w:rPr>
        <w:t>4.99%</w:t>
      </w:r>
      <w:r>
        <w:rPr>
          <w:rFonts w:hint="eastAsia" w:ascii="宋体" w:hAnsi="宋体" w:eastAsia="宋体"/>
          <w:sz w:val="32"/>
          <w:szCs w:val="32"/>
        </w:rPr>
        <w:t>；其他收入</w:t>
      </w:r>
      <w:r>
        <w:rPr>
          <w:rFonts w:ascii="宋体" w:hAnsi="宋体" w:eastAsia="宋体"/>
          <w:sz w:val="32"/>
          <w:szCs w:val="32"/>
        </w:rPr>
        <w:t>5635.05</w:t>
      </w:r>
      <w:r>
        <w:rPr>
          <w:rFonts w:hint="eastAsia" w:ascii="宋体" w:hAnsi="宋体" w:eastAsia="宋体"/>
          <w:sz w:val="32"/>
          <w:szCs w:val="32"/>
        </w:rPr>
        <w:t>万元，占</w:t>
      </w:r>
      <w:r>
        <w:rPr>
          <w:rFonts w:ascii="宋体" w:hAnsi="宋体" w:eastAsia="宋体"/>
          <w:sz w:val="32"/>
          <w:szCs w:val="32"/>
        </w:rPr>
        <w:t>24.71%</w:t>
      </w:r>
      <w:r>
        <w:rPr>
          <w:rFonts w:hint="eastAsia" w:ascii="宋体" w:hAnsi="宋体" w:eastAsia="宋体"/>
          <w:sz w:val="32"/>
          <w:szCs w:val="32"/>
        </w:rPr>
        <w:t>。</w:t>
      </w:r>
    </w:p>
    <w:p>
      <w:pPr>
        <w:pStyle w:val="13"/>
        <w:rPr>
          <w:rFonts w:hAnsi="黑体"/>
          <w:b/>
          <w:sz w:val="32"/>
          <w:szCs w:val="32"/>
        </w:rPr>
      </w:pPr>
      <w:r>
        <w:rPr>
          <w:rFonts w:hint="eastAsia" w:hAnsi="黑体"/>
          <w:b/>
          <w:sz w:val="32"/>
          <w:szCs w:val="32"/>
        </w:rPr>
        <w:t>三、支出决算情况说明</w:t>
      </w:r>
    </w:p>
    <w:p>
      <w:pPr>
        <w:pStyle w:val="13"/>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年度支出合计</w:t>
      </w:r>
      <w:r>
        <w:rPr>
          <w:rFonts w:ascii="宋体" w:hAnsi="宋体" w:eastAsia="宋体"/>
          <w:sz w:val="32"/>
          <w:szCs w:val="32"/>
        </w:rPr>
        <w:t>22226.79</w:t>
      </w:r>
      <w:r>
        <w:rPr>
          <w:rFonts w:hint="eastAsia" w:ascii="宋体" w:hAnsi="宋体" w:eastAsia="宋体"/>
          <w:sz w:val="32"/>
          <w:szCs w:val="32"/>
        </w:rPr>
        <w:t>万元，其中：基本支出</w:t>
      </w:r>
      <w:r>
        <w:rPr>
          <w:rFonts w:ascii="宋体" w:hAnsi="宋体" w:eastAsia="宋体"/>
          <w:sz w:val="32"/>
          <w:szCs w:val="32"/>
        </w:rPr>
        <w:t>2662.18</w:t>
      </w:r>
      <w:r>
        <w:rPr>
          <w:rFonts w:hint="eastAsia" w:ascii="宋体" w:hAnsi="宋体" w:eastAsia="宋体"/>
          <w:sz w:val="32"/>
          <w:szCs w:val="32"/>
        </w:rPr>
        <w:t>万元，占</w:t>
      </w:r>
      <w:r>
        <w:rPr>
          <w:rFonts w:ascii="宋体" w:hAnsi="宋体" w:eastAsia="宋体"/>
          <w:sz w:val="32"/>
          <w:szCs w:val="32"/>
        </w:rPr>
        <w:t>11.98%</w:t>
      </w:r>
      <w:r>
        <w:rPr>
          <w:rFonts w:hint="eastAsia" w:ascii="宋体" w:hAnsi="宋体" w:eastAsia="宋体"/>
          <w:sz w:val="32"/>
          <w:szCs w:val="32"/>
        </w:rPr>
        <w:t>；项目支出</w:t>
      </w:r>
      <w:r>
        <w:rPr>
          <w:rFonts w:ascii="宋体" w:hAnsi="宋体" w:eastAsia="宋体"/>
          <w:sz w:val="32"/>
          <w:szCs w:val="32"/>
        </w:rPr>
        <w:t>19564.61</w:t>
      </w:r>
      <w:r>
        <w:rPr>
          <w:rFonts w:hint="eastAsia" w:ascii="宋体" w:hAnsi="宋体" w:eastAsia="宋体"/>
          <w:sz w:val="32"/>
          <w:szCs w:val="32"/>
        </w:rPr>
        <w:t>万元，占</w:t>
      </w:r>
      <w:r>
        <w:rPr>
          <w:rFonts w:ascii="宋体" w:hAnsi="宋体" w:eastAsia="宋体"/>
          <w:sz w:val="32"/>
          <w:szCs w:val="32"/>
        </w:rPr>
        <w:t>88.02%</w:t>
      </w:r>
      <w:r>
        <w:rPr>
          <w:rFonts w:hint="eastAsia" w:ascii="宋体" w:hAnsi="宋体" w:eastAsia="宋体"/>
          <w:sz w:val="32"/>
          <w:szCs w:val="32"/>
        </w:rPr>
        <w:t>；上缴上级支出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；经营支出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；对附属单位补助支出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w:t>
      </w:r>
    </w:p>
    <w:p>
      <w:pPr>
        <w:pStyle w:val="13"/>
        <w:rPr>
          <w:rFonts w:hAnsi="黑体"/>
          <w:b/>
          <w:sz w:val="32"/>
          <w:szCs w:val="32"/>
        </w:rPr>
      </w:pPr>
      <w:r>
        <w:rPr>
          <w:rFonts w:hint="eastAsia" w:hAnsi="黑体"/>
          <w:b/>
          <w:sz w:val="32"/>
          <w:szCs w:val="32"/>
        </w:rPr>
        <w:t>四、财政拨款收入支出决算总体情况说明</w:t>
      </w:r>
    </w:p>
    <w:p>
      <w:pPr>
        <w:pStyle w:val="13"/>
        <w:rPr>
          <w:rFonts w:ascii="宋体" w:hAnsi="宋体" w:eastAsia="宋体"/>
          <w:sz w:val="32"/>
          <w:szCs w:val="32"/>
        </w:rPr>
      </w:pPr>
      <w:r>
        <w:rPr>
          <w:rFonts w:ascii="宋体" w:hAnsi="宋体" w:eastAsia="宋体"/>
          <w:sz w:val="32"/>
          <w:szCs w:val="32"/>
        </w:rPr>
        <w:t xml:space="preserve">    2021</w:t>
      </w:r>
      <w:r>
        <w:rPr>
          <w:rFonts w:hint="eastAsia" w:ascii="宋体" w:hAnsi="宋体" w:eastAsia="宋体"/>
          <w:sz w:val="32"/>
          <w:szCs w:val="32"/>
        </w:rPr>
        <w:t>年度财政拨款收、支总计</w:t>
      </w:r>
      <w:r>
        <w:rPr>
          <w:rFonts w:ascii="宋体" w:hAnsi="宋体" w:eastAsia="宋体"/>
          <w:sz w:val="32"/>
          <w:szCs w:val="32"/>
        </w:rPr>
        <w:t>18696.59</w:t>
      </w:r>
      <w:r>
        <w:rPr>
          <w:rFonts w:hint="eastAsia" w:ascii="宋体" w:hAnsi="宋体" w:eastAsia="宋体"/>
          <w:sz w:val="32"/>
          <w:szCs w:val="32"/>
        </w:rPr>
        <w:t>万元，与上年相比，增加</w:t>
      </w:r>
      <w:r>
        <w:rPr>
          <w:rFonts w:ascii="宋体" w:hAnsi="宋体" w:eastAsia="宋体"/>
          <w:sz w:val="32"/>
          <w:szCs w:val="32"/>
        </w:rPr>
        <w:t>8417.11</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增长</w:t>
      </w:r>
      <w:r>
        <w:rPr>
          <w:rFonts w:ascii="宋体" w:hAnsi="宋体" w:eastAsia="宋体"/>
          <w:sz w:val="32"/>
          <w:szCs w:val="32"/>
        </w:rPr>
        <w:t>81.88%</w:t>
      </w:r>
      <w:r>
        <w:rPr>
          <w:rFonts w:hint="eastAsia" w:ascii="宋体" w:hAnsi="宋体" w:eastAsia="宋体"/>
          <w:sz w:val="32"/>
          <w:szCs w:val="32"/>
        </w:rPr>
        <w:t>，主要是因为正常工资调资，机构改革，人员增加；农业项目增加。</w:t>
      </w:r>
    </w:p>
    <w:p>
      <w:pPr>
        <w:pStyle w:val="13"/>
        <w:rPr>
          <w:rFonts w:hAnsi="黑体"/>
          <w:b/>
          <w:sz w:val="32"/>
          <w:szCs w:val="32"/>
        </w:rPr>
      </w:pPr>
      <w:r>
        <w:rPr>
          <w:rFonts w:hint="eastAsia" w:hAnsi="黑体"/>
          <w:b/>
          <w:sz w:val="32"/>
          <w:szCs w:val="32"/>
        </w:rPr>
        <w:t>五、一般公共预算财政拨款支出决算情况说明</w:t>
      </w:r>
    </w:p>
    <w:p>
      <w:pPr>
        <w:pStyle w:val="13"/>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3"/>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2662.18</w:t>
      </w:r>
      <w:r>
        <w:rPr>
          <w:rFonts w:hint="eastAsia" w:ascii="宋体" w:hAnsi="宋体" w:eastAsia="宋体"/>
          <w:sz w:val="32"/>
          <w:szCs w:val="32"/>
        </w:rPr>
        <w:t>万元，占本年支出合计的</w:t>
      </w:r>
      <w:r>
        <w:rPr>
          <w:rFonts w:ascii="宋体" w:hAnsi="宋体" w:eastAsia="宋体"/>
          <w:sz w:val="32"/>
          <w:szCs w:val="32"/>
        </w:rPr>
        <w:t>11.98%</w:t>
      </w:r>
      <w:r>
        <w:rPr>
          <w:rFonts w:hint="eastAsia" w:ascii="宋体" w:hAnsi="宋体" w:eastAsia="宋体"/>
          <w:sz w:val="32"/>
          <w:szCs w:val="32"/>
        </w:rPr>
        <w:t>，与上年相比，财政拨款支出增加</w:t>
      </w:r>
      <w:r>
        <w:rPr>
          <w:rFonts w:ascii="宋体" w:hAnsi="宋体" w:eastAsia="宋体"/>
          <w:sz w:val="32"/>
          <w:szCs w:val="32"/>
        </w:rPr>
        <w:t>263.43</w:t>
      </w:r>
      <w:r>
        <w:rPr>
          <w:rFonts w:hint="eastAsia" w:ascii="宋体" w:hAnsi="宋体" w:eastAsia="宋体"/>
          <w:sz w:val="32"/>
          <w:szCs w:val="32"/>
        </w:rPr>
        <w:t>万元，增长</w:t>
      </w:r>
      <w:r>
        <w:rPr>
          <w:rFonts w:ascii="宋体" w:hAnsi="宋体" w:eastAsia="宋体"/>
          <w:sz w:val="32"/>
          <w:szCs w:val="32"/>
        </w:rPr>
        <w:t>10.98%</w:t>
      </w:r>
      <w:r>
        <w:rPr>
          <w:rFonts w:hint="eastAsia" w:ascii="宋体" w:hAnsi="宋体" w:eastAsia="宋体"/>
          <w:sz w:val="32"/>
          <w:szCs w:val="32"/>
        </w:rPr>
        <w:t>，主要是因为工资正常晋级，人员增加。</w:t>
      </w:r>
    </w:p>
    <w:p>
      <w:pPr>
        <w:pStyle w:val="13"/>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3"/>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2662.18</w:t>
      </w:r>
      <w:r>
        <w:rPr>
          <w:rFonts w:hint="eastAsia" w:ascii="宋体" w:hAnsi="宋体" w:eastAsia="宋体"/>
          <w:sz w:val="32"/>
          <w:szCs w:val="32"/>
        </w:rPr>
        <w:t>万元，主要用于以下方面：一般公共服务（类）支出</w:t>
      </w:r>
      <w:r>
        <w:rPr>
          <w:rFonts w:ascii="宋体" w:hAnsi="宋体" w:eastAsia="宋体"/>
          <w:sz w:val="32"/>
          <w:szCs w:val="32"/>
        </w:rPr>
        <w:t>12.13</w:t>
      </w:r>
      <w:r>
        <w:rPr>
          <w:rFonts w:hint="eastAsia" w:ascii="宋体" w:hAnsi="宋体" w:eastAsia="宋体"/>
          <w:sz w:val="32"/>
          <w:szCs w:val="32"/>
        </w:rPr>
        <w:t>万元，占</w:t>
      </w:r>
      <w:r>
        <w:rPr>
          <w:rFonts w:ascii="宋体" w:hAnsi="宋体" w:eastAsia="宋体"/>
          <w:sz w:val="32"/>
          <w:szCs w:val="32"/>
        </w:rPr>
        <w:t>0.46%</w:t>
      </w:r>
      <w:r>
        <w:rPr>
          <w:rFonts w:hint="eastAsia" w:ascii="宋体" w:hAnsi="宋体" w:eastAsia="宋体"/>
          <w:sz w:val="32"/>
          <w:szCs w:val="32"/>
        </w:rPr>
        <w:t>；社会保障和就业支出（类）支出</w:t>
      </w:r>
      <w:r>
        <w:rPr>
          <w:rFonts w:ascii="宋体" w:hAnsi="宋体" w:eastAsia="宋体"/>
          <w:sz w:val="32"/>
          <w:szCs w:val="32"/>
        </w:rPr>
        <w:t>24.03</w:t>
      </w:r>
      <w:r>
        <w:rPr>
          <w:rFonts w:hint="eastAsia" w:ascii="宋体" w:hAnsi="宋体" w:eastAsia="宋体"/>
          <w:sz w:val="32"/>
          <w:szCs w:val="32"/>
        </w:rPr>
        <w:t>万元，占</w:t>
      </w:r>
      <w:r>
        <w:rPr>
          <w:rFonts w:ascii="宋体" w:hAnsi="宋体" w:eastAsia="宋体"/>
          <w:sz w:val="32"/>
          <w:szCs w:val="32"/>
        </w:rPr>
        <w:t>0.90%;</w:t>
      </w:r>
      <w:r>
        <w:rPr>
          <w:rFonts w:hint="eastAsia" w:ascii="宋体" w:hAnsi="宋体" w:eastAsia="宋体"/>
          <w:sz w:val="32"/>
          <w:szCs w:val="32"/>
        </w:rPr>
        <w:t>农林水支出</w:t>
      </w:r>
      <w:r>
        <w:rPr>
          <w:rFonts w:ascii="宋体" w:hAnsi="宋体" w:eastAsia="宋体"/>
          <w:sz w:val="32"/>
          <w:szCs w:val="32"/>
        </w:rPr>
        <w:t>2507.06</w:t>
      </w:r>
      <w:r>
        <w:rPr>
          <w:rFonts w:hint="eastAsia" w:ascii="宋体" w:hAnsi="宋体" w:eastAsia="宋体"/>
          <w:sz w:val="32"/>
          <w:szCs w:val="32"/>
        </w:rPr>
        <w:t>万元，占</w:t>
      </w:r>
      <w:r>
        <w:rPr>
          <w:rFonts w:ascii="宋体" w:hAnsi="宋体" w:eastAsia="宋体"/>
          <w:sz w:val="32"/>
          <w:szCs w:val="32"/>
        </w:rPr>
        <w:t>94.17%</w:t>
      </w:r>
      <w:r>
        <w:rPr>
          <w:rFonts w:hint="eastAsia" w:ascii="宋体" w:hAnsi="宋体" w:eastAsia="宋体"/>
          <w:sz w:val="32"/>
          <w:szCs w:val="32"/>
        </w:rPr>
        <w:t>；住房保障支出</w:t>
      </w:r>
      <w:r>
        <w:rPr>
          <w:rFonts w:ascii="宋体" w:hAnsi="宋体" w:eastAsia="宋体"/>
          <w:sz w:val="32"/>
          <w:szCs w:val="32"/>
        </w:rPr>
        <w:t>118.96</w:t>
      </w:r>
      <w:r>
        <w:rPr>
          <w:rFonts w:hint="eastAsia" w:ascii="宋体" w:hAnsi="宋体" w:eastAsia="宋体"/>
          <w:sz w:val="32"/>
          <w:szCs w:val="32"/>
        </w:rPr>
        <w:t>万元，占</w:t>
      </w:r>
      <w:r>
        <w:rPr>
          <w:rFonts w:ascii="宋体" w:hAnsi="宋体" w:eastAsia="宋体"/>
          <w:sz w:val="32"/>
          <w:szCs w:val="32"/>
        </w:rPr>
        <w:t>4.47%</w:t>
      </w:r>
      <w:r>
        <w:rPr>
          <w:rFonts w:hint="eastAsia" w:ascii="宋体" w:hAnsi="宋体" w:eastAsia="宋体"/>
          <w:sz w:val="32"/>
          <w:szCs w:val="32"/>
        </w:rPr>
        <w:t>；</w:t>
      </w:r>
    </w:p>
    <w:p>
      <w:pPr>
        <w:pStyle w:val="13"/>
        <w:ind w:firstLine="640" w:firstLineChars="200"/>
        <w:rPr>
          <w:rFonts w:ascii="宋体" w:hAnsi="宋体" w:eastAsia="宋体"/>
          <w:b/>
          <w:sz w:val="32"/>
          <w:szCs w:val="32"/>
        </w:rPr>
      </w:pPr>
      <w:r>
        <w:rPr>
          <w:rFonts w:hint="eastAsia" w:ascii="宋体" w:hAnsi="宋体" w:eastAsia="宋体"/>
          <w:b/>
          <w:sz w:val="32"/>
          <w:szCs w:val="32"/>
        </w:rPr>
        <w:t>（三）财政拨款支出决算具体情况</w:t>
      </w:r>
    </w:p>
    <w:p>
      <w:pPr>
        <w:pStyle w:val="13"/>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年度财政拨款支出年初预算数为</w:t>
      </w:r>
      <w:r>
        <w:rPr>
          <w:rFonts w:ascii="宋体" w:hAnsi="宋体" w:eastAsia="宋体"/>
          <w:sz w:val="32"/>
          <w:szCs w:val="32"/>
        </w:rPr>
        <w:t>1872.85</w:t>
      </w:r>
      <w:r>
        <w:rPr>
          <w:rFonts w:hint="eastAsia" w:ascii="宋体" w:hAnsi="宋体" w:eastAsia="宋体"/>
          <w:sz w:val="32"/>
          <w:szCs w:val="32"/>
        </w:rPr>
        <w:t>万元，支出决算数为</w:t>
      </w:r>
      <w:r>
        <w:rPr>
          <w:rFonts w:ascii="宋体" w:hAnsi="宋体" w:eastAsia="宋体"/>
          <w:sz w:val="32"/>
          <w:szCs w:val="32"/>
        </w:rPr>
        <w:t>2662.18</w:t>
      </w:r>
      <w:r>
        <w:rPr>
          <w:rFonts w:hint="eastAsia" w:ascii="宋体" w:hAnsi="宋体" w:eastAsia="宋体"/>
          <w:sz w:val="32"/>
          <w:szCs w:val="32"/>
        </w:rPr>
        <w:t>万元，完成年初预算的</w:t>
      </w:r>
      <w:r>
        <w:rPr>
          <w:rFonts w:ascii="宋体" w:hAnsi="宋体" w:eastAsia="宋体"/>
          <w:sz w:val="32"/>
          <w:szCs w:val="32"/>
        </w:rPr>
        <w:t>142.12%</w:t>
      </w:r>
      <w:r>
        <w:rPr>
          <w:rFonts w:hint="eastAsia" w:ascii="宋体" w:hAnsi="宋体" w:eastAsia="宋体"/>
          <w:sz w:val="32"/>
          <w:szCs w:val="32"/>
        </w:rPr>
        <w:t>，其中：</w:t>
      </w:r>
    </w:p>
    <w:p>
      <w:pPr>
        <w:pStyle w:val="13"/>
        <w:ind w:firstLine="800" w:firstLineChars="25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、一般公共服务支出（类）税收事务（款）其他税收事务支出（项）。</w:t>
      </w:r>
    </w:p>
    <w:p>
      <w:pPr>
        <w:pStyle w:val="13"/>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11.53</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，决算数大于年初预算数的主要原因是：超额完成市委政府交办税控联管任务，拨付工作经费。</w:t>
      </w:r>
    </w:p>
    <w:p>
      <w:pPr>
        <w:pStyle w:val="13"/>
        <w:ind w:firstLine="800" w:firstLineChars="25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、一般公共服务支出（类）组织事务（款）其他组织事务支出（项）。</w:t>
      </w:r>
    </w:p>
    <w:p>
      <w:pPr>
        <w:pStyle w:val="13"/>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0.6</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，决算数大于年初预算数的主要原因是：财政拨共产党成立</w:t>
      </w:r>
      <w:r>
        <w:rPr>
          <w:rFonts w:ascii="宋体" w:hAnsi="宋体" w:eastAsia="宋体"/>
          <w:sz w:val="32"/>
          <w:szCs w:val="32"/>
        </w:rPr>
        <w:t>100</w:t>
      </w:r>
      <w:r>
        <w:rPr>
          <w:rFonts w:hint="eastAsia" w:ascii="宋体" w:hAnsi="宋体" w:eastAsia="宋体"/>
          <w:sz w:val="32"/>
          <w:szCs w:val="32"/>
        </w:rPr>
        <w:t>周年优秀党员及党务工作者表彰。</w:t>
      </w:r>
    </w:p>
    <w:p>
      <w:pPr>
        <w:pStyle w:val="13"/>
        <w:ind w:firstLine="800" w:firstLineChars="250"/>
        <w:rPr>
          <w:rFonts w:ascii="宋体" w:hAnsi="宋体" w:eastAsia="宋体"/>
          <w:sz w:val="32"/>
          <w:szCs w:val="32"/>
        </w:rPr>
      </w:pPr>
      <w:r>
        <w:rPr>
          <w:rFonts w:ascii="宋体" w:hAnsi="宋体" w:eastAsia="宋体"/>
          <w:sz w:val="32"/>
          <w:szCs w:val="32"/>
        </w:rPr>
        <w:t>3</w:t>
      </w:r>
      <w:r>
        <w:rPr>
          <w:rFonts w:hint="eastAsia" w:ascii="宋体" w:hAnsi="宋体" w:eastAsia="宋体"/>
          <w:sz w:val="32"/>
          <w:szCs w:val="32"/>
        </w:rPr>
        <w:t>、社会保障和就业支出（类）就业补助（款）其他就业补助支出（项）。</w:t>
      </w:r>
    </w:p>
    <w:p>
      <w:pPr>
        <w:pStyle w:val="13"/>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1.46</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，决算数大于年初预算数的主要原因是：退役人员再就业援助金</w:t>
      </w:r>
      <w:r>
        <w:rPr>
          <w:rFonts w:ascii="宋体" w:hAnsi="宋体" w:eastAsia="宋体"/>
          <w:sz w:val="32"/>
          <w:szCs w:val="32"/>
        </w:rPr>
        <w:t>.</w:t>
      </w:r>
    </w:p>
    <w:p>
      <w:pPr>
        <w:pStyle w:val="13"/>
        <w:ind w:firstLine="800" w:firstLineChars="250"/>
        <w:rPr>
          <w:rFonts w:ascii="宋体" w:hAnsi="宋体" w:eastAsia="宋体"/>
          <w:sz w:val="32"/>
          <w:szCs w:val="32"/>
        </w:rPr>
      </w:pPr>
      <w:r>
        <w:rPr>
          <w:rFonts w:ascii="宋体" w:hAnsi="宋体" w:eastAsia="宋体"/>
          <w:sz w:val="32"/>
          <w:szCs w:val="32"/>
        </w:rPr>
        <w:t>4</w:t>
      </w:r>
      <w:r>
        <w:rPr>
          <w:rFonts w:hint="eastAsia" w:ascii="宋体" w:hAnsi="宋体" w:eastAsia="宋体"/>
          <w:sz w:val="32"/>
          <w:szCs w:val="32"/>
        </w:rPr>
        <w:t>、社会保障和就业支出（类）抚恤（款）死亡抚恤（项）。</w:t>
      </w:r>
    </w:p>
    <w:p>
      <w:pPr>
        <w:pStyle w:val="13"/>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7.31</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，决算数大于年初预算数的主要原因是：财政拨当年退休人员死亡抚恤金。</w:t>
      </w:r>
    </w:p>
    <w:p>
      <w:pPr>
        <w:pStyle w:val="13"/>
        <w:ind w:firstLine="800" w:firstLineChars="250"/>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、社会保障和就业支出（类）抚恤（款）义务兵优待（项）。</w:t>
      </w:r>
    </w:p>
    <w:p>
      <w:pPr>
        <w:pStyle w:val="13"/>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6.13</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，决算数大于年初预算数的主要原因是：退役士兵待安排工作期间社保金。</w:t>
      </w:r>
    </w:p>
    <w:p>
      <w:pPr>
        <w:pStyle w:val="13"/>
        <w:ind w:firstLine="800" w:firstLineChars="250"/>
        <w:rPr>
          <w:rFonts w:ascii="宋体" w:hAnsi="宋体" w:eastAsia="宋体"/>
          <w:sz w:val="32"/>
          <w:szCs w:val="32"/>
        </w:rPr>
      </w:pPr>
      <w:r>
        <w:rPr>
          <w:rFonts w:ascii="宋体" w:hAnsi="宋体" w:eastAsia="宋体"/>
          <w:sz w:val="32"/>
          <w:szCs w:val="32"/>
        </w:rPr>
        <w:t>6</w:t>
      </w:r>
      <w:r>
        <w:rPr>
          <w:rFonts w:hint="eastAsia" w:ascii="宋体" w:hAnsi="宋体" w:eastAsia="宋体"/>
          <w:sz w:val="32"/>
          <w:szCs w:val="32"/>
        </w:rPr>
        <w:t>、社会保障和就业支出（类）抚恤（款）其他优抚支出（项）。</w:t>
      </w:r>
    </w:p>
    <w:p>
      <w:pPr>
        <w:pStyle w:val="13"/>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9.13</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，决算数大于年初预算数的主要原因是：其他优抚支出。</w:t>
      </w:r>
    </w:p>
    <w:p>
      <w:pPr>
        <w:pStyle w:val="13"/>
        <w:ind w:firstLine="800" w:firstLineChars="250"/>
        <w:rPr>
          <w:rFonts w:ascii="宋体" w:hAnsi="宋体" w:eastAsia="宋体"/>
          <w:sz w:val="32"/>
          <w:szCs w:val="32"/>
        </w:rPr>
      </w:pPr>
      <w:r>
        <w:rPr>
          <w:rFonts w:ascii="宋体" w:hAnsi="宋体" w:eastAsia="宋体"/>
          <w:sz w:val="32"/>
          <w:szCs w:val="32"/>
        </w:rPr>
        <w:t>7</w:t>
      </w:r>
      <w:r>
        <w:rPr>
          <w:rFonts w:hint="eastAsia" w:ascii="宋体" w:hAnsi="宋体" w:eastAsia="宋体"/>
          <w:sz w:val="32"/>
          <w:szCs w:val="32"/>
        </w:rPr>
        <w:t>、农林水支出（类）农业农村（款）行政运行（项）。</w:t>
      </w:r>
    </w:p>
    <w:p>
      <w:pPr>
        <w:pStyle w:val="13"/>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1730.10</w:t>
      </w:r>
      <w:r>
        <w:rPr>
          <w:rFonts w:hint="eastAsia" w:ascii="宋体" w:hAnsi="宋体" w:eastAsia="宋体"/>
          <w:sz w:val="32"/>
          <w:szCs w:val="32"/>
        </w:rPr>
        <w:t>万元，支出决算为</w:t>
      </w:r>
      <w:r>
        <w:rPr>
          <w:rFonts w:ascii="宋体" w:hAnsi="宋体" w:eastAsia="宋体"/>
          <w:sz w:val="32"/>
          <w:szCs w:val="32"/>
        </w:rPr>
        <w:t>2507.06</w:t>
      </w:r>
      <w:r>
        <w:rPr>
          <w:rFonts w:hint="eastAsia" w:ascii="宋体" w:hAnsi="宋体" w:eastAsia="宋体"/>
          <w:sz w:val="32"/>
          <w:szCs w:val="32"/>
        </w:rPr>
        <w:t>万元，完成年初预算的</w:t>
      </w:r>
      <w:r>
        <w:rPr>
          <w:rFonts w:ascii="宋体" w:hAnsi="宋体" w:eastAsia="宋体"/>
          <w:sz w:val="32"/>
          <w:szCs w:val="32"/>
        </w:rPr>
        <w:t>144.91%</w:t>
      </w:r>
      <w:r>
        <w:rPr>
          <w:rFonts w:hint="eastAsia" w:ascii="宋体" w:hAnsi="宋体" w:eastAsia="宋体"/>
          <w:sz w:val="32"/>
          <w:szCs w:val="32"/>
        </w:rPr>
        <w:t>，决算数大于年初预算数的主要原因是：农业项目增加。</w:t>
      </w:r>
    </w:p>
    <w:p>
      <w:pPr>
        <w:pStyle w:val="13"/>
        <w:ind w:firstLine="800" w:firstLineChars="250"/>
        <w:rPr>
          <w:rFonts w:ascii="宋体" w:hAnsi="宋体" w:eastAsia="宋体"/>
          <w:sz w:val="32"/>
          <w:szCs w:val="32"/>
        </w:rPr>
      </w:pPr>
      <w:r>
        <w:rPr>
          <w:rFonts w:ascii="宋体" w:hAnsi="宋体" w:eastAsia="宋体"/>
          <w:sz w:val="32"/>
          <w:szCs w:val="32"/>
        </w:rPr>
        <w:t>8</w:t>
      </w:r>
      <w:r>
        <w:rPr>
          <w:rFonts w:hint="eastAsia" w:ascii="宋体" w:hAnsi="宋体" w:eastAsia="宋体"/>
          <w:sz w:val="32"/>
          <w:szCs w:val="32"/>
        </w:rPr>
        <w:t>、住房保障支出（类）住房改革支出（款）住房公积金（项）。</w:t>
      </w:r>
    </w:p>
    <w:p>
      <w:pPr>
        <w:pStyle w:val="13"/>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142.75</w:t>
      </w:r>
      <w:r>
        <w:rPr>
          <w:rFonts w:hint="eastAsia" w:ascii="宋体" w:hAnsi="宋体" w:eastAsia="宋体"/>
          <w:sz w:val="32"/>
          <w:szCs w:val="32"/>
        </w:rPr>
        <w:t>万元，支出决算为</w:t>
      </w:r>
      <w:r>
        <w:rPr>
          <w:rFonts w:ascii="宋体" w:hAnsi="宋体" w:eastAsia="宋体"/>
          <w:sz w:val="32"/>
          <w:szCs w:val="32"/>
        </w:rPr>
        <w:t>118.96</w:t>
      </w:r>
      <w:r>
        <w:rPr>
          <w:rFonts w:hint="eastAsia" w:ascii="宋体" w:hAnsi="宋体" w:eastAsia="宋体"/>
          <w:sz w:val="32"/>
          <w:szCs w:val="32"/>
        </w:rPr>
        <w:t>万元，完成年初预算的</w:t>
      </w:r>
      <w:r>
        <w:rPr>
          <w:rFonts w:ascii="宋体" w:hAnsi="宋体" w:eastAsia="宋体"/>
          <w:sz w:val="32"/>
          <w:szCs w:val="32"/>
        </w:rPr>
        <w:t>83.33%</w:t>
      </w:r>
      <w:r>
        <w:rPr>
          <w:rFonts w:hint="eastAsia" w:ascii="宋体" w:hAnsi="宋体" w:eastAsia="宋体"/>
          <w:sz w:val="32"/>
          <w:szCs w:val="32"/>
        </w:rPr>
        <w:t>，决算数大于年初预算数的主要原因是：人员调整。</w:t>
      </w:r>
    </w:p>
    <w:p>
      <w:pPr>
        <w:pStyle w:val="13"/>
        <w:rPr>
          <w:rFonts w:hAnsi="黑体"/>
          <w:b/>
          <w:sz w:val="32"/>
          <w:szCs w:val="32"/>
        </w:rPr>
      </w:pPr>
      <w:r>
        <w:rPr>
          <w:rFonts w:hint="eastAsia" w:hAnsi="黑体"/>
          <w:b/>
          <w:sz w:val="32"/>
          <w:szCs w:val="32"/>
        </w:rPr>
        <w:t>六、一般公共预算财政拨款基本支出决算情况说明</w:t>
      </w:r>
    </w:p>
    <w:p>
      <w:pPr>
        <w:pStyle w:val="13"/>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年度财政拨款基本支出</w:t>
      </w:r>
      <w:r>
        <w:rPr>
          <w:rFonts w:ascii="宋体" w:hAnsi="宋体" w:eastAsia="宋体"/>
          <w:sz w:val="32"/>
          <w:szCs w:val="32"/>
        </w:rPr>
        <w:t>2564.57</w:t>
      </w:r>
      <w:r>
        <w:rPr>
          <w:rFonts w:hint="eastAsia" w:ascii="宋体" w:hAnsi="宋体" w:eastAsia="宋体"/>
          <w:sz w:val="32"/>
          <w:szCs w:val="32"/>
        </w:rPr>
        <w:t>万元，其中：人员经费</w:t>
      </w:r>
      <w:r>
        <w:rPr>
          <w:rFonts w:ascii="宋体" w:hAnsi="宋体" w:eastAsia="宋体"/>
          <w:sz w:val="32"/>
          <w:szCs w:val="32"/>
        </w:rPr>
        <w:t>2141.46</w:t>
      </w:r>
      <w:r>
        <w:rPr>
          <w:rFonts w:hint="eastAsia" w:ascii="宋体" w:hAnsi="宋体" w:eastAsia="宋体"/>
          <w:sz w:val="32"/>
          <w:szCs w:val="32"/>
        </w:rPr>
        <w:t>万元，占基本支出的</w:t>
      </w:r>
      <w:r>
        <w:rPr>
          <w:rFonts w:ascii="宋体" w:hAnsi="宋体" w:eastAsia="宋体"/>
          <w:color w:val="auto"/>
          <w:sz w:val="32"/>
          <w:szCs w:val="32"/>
        </w:rPr>
        <w:t>83.5</w:t>
      </w:r>
      <w:r>
        <w:rPr>
          <w:rFonts w:ascii="宋体" w:hAnsi="宋体" w:eastAsia="宋体"/>
          <w:sz w:val="32"/>
          <w:szCs w:val="32"/>
        </w:rPr>
        <w:t>%,</w:t>
      </w:r>
      <w:r>
        <w:rPr>
          <w:rFonts w:hint="eastAsia" w:ascii="宋体" w:hAnsi="宋体" w:eastAsia="宋体"/>
          <w:sz w:val="32"/>
          <w:szCs w:val="32"/>
        </w:rPr>
        <w:t>主要包括基本工资、津贴补贴、奖金、住房公积金、对个人和家庭的补助等；公用经费</w:t>
      </w:r>
      <w:r>
        <w:rPr>
          <w:rFonts w:ascii="宋体" w:hAnsi="宋体" w:eastAsia="宋体"/>
          <w:sz w:val="32"/>
          <w:szCs w:val="32"/>
        </w:rPr>
        <w:t>423.11</w:t>
      </w:r>
      <w:r>
        <w:rPr>
          <w:rFonts w:hint="eastAsia" w:ascii="宋体" w:hAnsi="宋体" w:eastAsia="宋体"/>
          <w:sz w:val="32"/>
          <w:szCs w:val="32"/>
        </w:rPr>
        <w:t>万元，占基本支出的</w:t>
      </w:r>
      <w:r>
        <w:rPr>
          <w:rFonts w:ascii="宋体" w:hAnsi="宋体" w:eastAsia="宋体"/>
          <w:color w:val="auto"/>
          <w:sz w:val="32"/>
          <w:szCs w:val="32"/>
        </w:rPr>
        <w:t>16.5</w:t>
      </w:r>
      <w:r>
        <w:rPr>
          <w:rFonts w:ascii="宋体" w:hAnsi="宋体" w:eastAsia="宋体"/>
          <w:sz w:val="32"/>
          <w:szCs w:val="32"/>
        </w:rPr>
        <w:t>%</w:t>
      </w:r>
      <w:r>
        <w:rPr>
          <w:rFonts w:hint="eastAsia" w:ascii="宋体" w:hAnsi="宋体" w:eastAsia="宋体"/>
          <w:sz w:val="32"/>
          <w:szCs w:val="32"/>
        </w:rPr>
        <w:t>，主要包括办公费、水费、电费、物业管理费、差旅费、维修（护）费、会议费、办公购置费、培训费等。</w:t>
      </w:r>
    </w:p>
    <w:p>
      <w:pPr>
        <w:pStyle w:val="13"/>
        <w:rPr>
          <w:rFonts w:hAnsi="黑体"/>
          <w:b/>
          <w:sz w:val="32"/>
          <w:szCs w:val="32"/>
        </w:rPr>
      </w:pPr>
      <w:r>
        <w:rPr>
          <w:rFonts w:hint="eastAsia" w:hAnsi="黑体"/>
          <w:b/>
          <w:sz w:val="32"/>
          <w:szCs w:val="32"/>
        </w:rPr>
        <w:t>七、一般公共预算财政拨款“三公”经费支出决算情况说明</w:t>
      </w:r>
    </w:p>
    <w:p>
      <w:pPr>
        <w:pStyle w:val="13"/>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3"/>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年度“三公”经费财政拨款支出预算为</w:t>
      </w:r>
      <w:r>
        <w:rPr>
          <w:rFonts w:ascii="宋体" w:hAnsi="宋体" w:eastAsia="宋体"/>
          <w:sz w:val="32"/>
          <w:szCs w:val="32"/>
        </w:rPr>
        <w:t>19.80</w:t>
      </w:r>
      <w:r>
        <w:rPr>
          <w:rFonts w:hint="eastAsia" w:ascii="宋体" w:hAnsi="宋体" w:eastAsia="宋体"/>
          <w:sz w:val="32"/>
          <w:szCs w:val="32"/>
        </w:rPr>
        <w:t>万元，支出决算为</w:t>
      </w:r>
      <w:r>
        <w:rPr>
          <w:rFonts w:ascii="宋体" w:hAnsi="宋体" w:eastAsia="宋体"/>
          <w:sz w:val="32"/>
          <w:szCs w:val="32"/>
        </w:rPr>
        <w:t>18.55</w:t>
      </w:r>
      <w:r>
        <w:rPr>
          <w:rFonts w:hint="eastAsia" w:ascii="宋体" w:hAnsi="宋体" w:eastAsia="宋体"/>
          <w:sz w:val="32"/>
          <w:szCs w:val="32"/>
        </w:rPr>
        <w:t>万元，完成预算的</w:t>
      </w:r>
      <w:r>
        <w:rPr>
          <w:rFonts w:ascii="宋体" w:hAnsi="宋体" w:eastAsia="宋体"/>
          <w:sz w:val="32"/>
          <w:szCs w:val="32"/>
        </w:rPr>
        <w:t>93.69%</w:t>
      </w:r>
      <w:r>
        <w:rPr>
          <w:rFonts w:hint="eastAsia" w:ascii="宋体" w:hAnsi="宋体" w:eastAsia="宋体"/>
          <w:sz w:val="32"/>
          <w:szCs w:val="32"/>
        </w:rPr>
        <w:t>，其中：</w:t>
      </w:r>
    </w:p>
    <w:p>
      <w:pPr>
        <w:pStyle w:val="13"/>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w:t>
      </w:r>
    </w:p>
    <w:p>
      <w:pPr>
        <w:ind w:firstLine="640" w:firstLineChars="200"/>
        <w:jc w:val="left"/>
        <w:rPr>
          <w:rFonts w:ascii="宋体"/>
          <w:sz w:val="32"/>
          <w:szCs w:val="32"/>
        </w:rPr>
      </w:pPr>
      <w:r>
        <w:rPr>
          <w:rFonts w:hint="eastAsia" w:ascii="宋体" w:hAnsi="宋体"/>
          <w:sz w:val="32"/>
          <w:szCs w:val="32"/>
        </w:rPr>
        <w:t>公务接待费支出预算为</w:t>
      </w:r>
      <w:r>
        <w:rPr>
          <w:rFonts w:ascii="宋体" w:hAnsi="宋体"/>
          <w:sz w:val="32"/>
          <w:szCs w:val="32"/>
        </w:rPr>
        <w:t>19.80</w:t>
      </w:r>
      <w:r>
        <w:rPr>
          <w:rFonts w:hint="eastAsia" w:ascii="宋体" w:hAnsi="宋体"/>
          <w:sz w:val="32"/>
          <w:szCs w:val="32"/>
        </w:rPr>
        <w:t>万元，支出决算为</w:t>
      </w:r>
      <w:r>
        <w:rPr>
          <w:rFonts w:ascii="宋体" w:hAnsi="宋体"/>
          <w:sz w:val="32"/>
          <w:szCs w:val="32"/>
        </w:rPr>
        <w:t>18.55</w:t>
      </w:r>
      <w:r>
        <w:rPr>
          <w:rFonts w:hint="eastAsia" w:ascii="宋体" w:hAnsi="宋体"/>
          <w:sz w:val="32"/>
          <w:szCs w:val="32"/>
        </w:rPr>
        <w:t>万元，完成预算的</w:t>
      </w:r>
      <w:r>
        <w:rPr>
          <w:rFonts w:ascii="宋体" w:hAnsi="宋体"/>
          <w:sz w:val="32"/>
          <w:szCs w:val="32"/>
        </w:rPr>
        <w:t>93.69%</w:t>
      </w:r>
      <w:r>
        <w:rPr>
          <w:rFonts w:hint="eastAsia" w:ascii="宋体" w:hAnsi="宋体"/>
          <w:sz w:val="32"/>
          <w:szCs w:val="32"/>
        </w:rPr>
        <w:t>，决算数小于预算数的主要原因是：认真贯彻落实中央“八项规定”精神和厉行节约要求，从严控制“三公”经费开支，与上年相比减少</w:t>
      </w:r>
      <w:r>
        <w:rPr>
          <w:rFonts w:ascii="宋体" w:hAnsi="宋体"/>
          <w:sz w:val="32"/>
          <w:szCs w:val="32"/>
        </w:rPr>
        <w:t>0.47</w:t>
      </w:r>
      <w:r>
        <w:rPr>
          <w:rFonts w:hint="eastAsia" w:ascii="宋体" w:hAnsi="宋体"/>
          <w:sz w:val="32"/>
          <w:szCs w:val="32"/>
        </w:rPr>
        <w:t>万元，减少</w:t>
      </w:r>
      <w:r>
        <w:rPr>
          <w:rFonts w:ascii="仿宋" w:eastAsia="仿宋" w:cs="仿宋"/>
          <w:color w:val="000000"/>
          <w:sz w:val="32"/>
          <w:szCs w:val="32"/>
        </w:rPr>
        <w:t>2.51</w:t>
      </w:r>
      <w:r>
        <w:rPr>
          <w:rFonts w:ascii="宋体" w:hAnsi="宋体"/>
          <w:sz w:val="32"/>
          <w:szCs w:val="32"/>
        </w:rPr>
        <w:t>%,</w:t>
      </w:r>
      <w:r>
        <w:rPr>
          <w:rFonts w:hint="eastAsia" w:ascii="宋体" w:hAnsi="宋体"/>
          <w:sz w:val="32"/>
          <w:szCs w:val="32"/>
        </w:rPr>
        <w:t>减少的主要原因是认真贯彻落实中央“八项规定”精神和厉行节约要求，从严控制“三公”经费开支。</w:t>
      </w:r>
    </w:p>
    <w:p>
      <w:pPr>
        <w:pStyle w:val="13"/>
        <w:ind w:firstLine="640" w:firstLineChars="200"/>
        <w:rPr>
          <w:rFonts w:ascii="宋体" w:hAnsi="宋体" w:eastAsia="宋体"/>
          <w:sz w:val="32"/>
          <w:szCs w:val="32"/>
        </w:rPr>
      </w:pPr>
      <w:r>
        <w:rPr>
          <w:rFonts w:hint="eastAsia" w:ascii="宋体" w:hAnsi="宋体" w:eastAsia="宋体"/>
          <w:sz w:val="32"/>
          <w:szCs w:val="32"/>
        </w:rPr>
        <w:t>公务用车购置费支出预算为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w:t>
      </w:r>
    </w:p>
    <w:p>
      <w:pPr>
        <w:pStyle w:val="13"/>
        <w:ind w:firstLine="640" w:firstLineChars="200"/>
        <w:rPr>
          <w:rFonts w:ascii="宋体" w:hAnsi="宋体" w:eastAsia="宋体"/>
          <w:sz w:val="32"/>
          <w:szCs w:val="32"/>
        </w:rPr>
      </w:pPr>
      <w:r>
        <w:rPr>
          <w:rFonts w:hint="eastAsia" w:ascii="宋体" w:hAnsi="宋体" w:eastAsia="宋体"/>
          <w:sz w:val="32"/>
          <w:szCs w:val="32"/>
        </w:rPr>
        <w:t>公务用车运行维护费支出预算为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w:t>
      </w:r>
    </w:p>
    <w:p>
      <w:pPr>
        <w:pStyle w:val="13"/>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3"/>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年度“三公”经费财政拨款支出决算中，公务接待费支出决算</w:t>
      </w:r>
      <w:r>
        <w:rPr>
          <w:rFonts w:ascii="宋体" w:hAnsi="宋体" w:eastAsia="宋体"/>
          <w:sz w:val="32"/>
          <w:szCs w:val="32"/>
        </w:rPr>
        <w:t>18.55</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公务用车购置费及运行维护费支出决算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。其中：</w:t>
      </w:r>
    </w:p>
    <w:p>
      <w:pPr>
        <w:pStyle w:val="13"/>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w:t>
      </w:r>
    </w:p>
    <w:p>
      <w:pPr>
        <w:snapToGrid w:val="0"/>
        <w:spacing w:line="560" w:lineRule="exact"/>
        <w:ind w:firstLine="640" w:firstLineChars="200"/>
        <w:rPr>
          <w:rFonts w:ascii="宋体"/>
          <w:sz w:val="32"/>
          <w:szCs w:val="32"/>
        </w:rPr>
      </w:pPr>
      <w:r>
        <w:rPr>
          <w:rFonts w:ascii="宋体" w:hAnsi="宋体"/>
          <w:sz w:val="32"/>
          <w:szCs w:val="32"/>
        </w:rPr>
        <w:t>2</w:t>
      </w:r>
      <w:r>
        <w:rPr>
          <w:rFonts w:hint="eastAsia" w:ascii="宋体" w:hAnsi="宋体"/>
          <w:sz w:val="32"/>
          <w:szCs w:val="32"/>
        </w:rPr>
        <w:t>、公务接待费支出决算为</w:t>
      </w:r>
      <w:r>
        <w:rPr>
          <w:rFonts w:ascii="宋体" w:hAnsi="宋体"/>
          <w:sz w:val="32"/>
          <w:szCs w:val="32"/>
        </w:rPr>
        <w:t>18.55</w:t>
      </w:r>
      <w:r>
        <w:rPr>
          <w:rFonts w:hint="eastAsia" w:ascii="宋体" w:hAnsi="宋体"/>
          <w:sz w:val="32"/>
          <w:szCs w:val="32"/>
        </w:rPr>
        <w:t>万元，全年共接待来访团组来宾约</w:t>
      </w:r>
      <w:r>
        <w:rPr>
          <w:rFonts w:ascii="宋体" w:hAnsi="宋体"/>
          <w:sz w:val="32"/>
          <w:szCs w:val="32"/>
        </w:rPr>
        <w:t>1500</w:t>
      </w:r>
      <w:r>
        <w:rPr>
          <w:rFonts w:hint="eastAsia" w:ascii="宋体" w:hAnsi="宋体"/>
          <w:sz w:val="32"/>
          <w:szCs w:val="32"/>
        </w:rPr>
        <w:t>人次，主要是省级及各地州市到我市调研、交流、指导；省级及科研院所、社会团体调研。</w:t>
      </w:r>
    </w:p>
    <w:p>
      <w:pPr>
        <w:ind w:firstLine="800" w:firstLineChars="250"/>
        <w:rPr>
          <w:rFonts w:ascii="宋体" w:cs="黑体"/>
          <w:color w:val="000000"/>
          <w:kern w:val="0"/>
          <w:sz w:val="32"/>
          <w:szCs w:val="32"/>
        </w:rPr>
      </w:pPr>
      <w:r>
        <w:rPr>
          <w:rFonts w:ascii="宋体" w:hAnsi="宋体"/>
          <w:sz w:val="32"/>
          <w:szCs w:val="32"/>
        </w:rPr>
        <w:t>3</w:t>
      </w:r>
      <w:r>
        <w:rPr>
          <w:rFonts w:hint="eastAsia" w:ascii="宋体" w:hAnsi="宋体"/>
          <w:sz w:val="32"/>
          <w:szCs w:val="32"/>
        </w:rPr>
        <w:t>、公务用车购置费及运行维护费支出决算为</w:t>
      </w:r>
      <w:r>
        <w:rPr>
          <w:rFonts w:ascii="宋体" w:hAnsi="宋体"/>
          <w:sz w:val="32"/>
          <w:szCs w:val="32"/>
        </w:rPr>
        <w:t>0</w:t>
      </w:r>
      <w:r>
        <w:rPr>
          <w:rFonts w:hint="eastAsia" w:ascii="宋体" w:hAnsi="宋体"/>
          <w:sz w:val="32"/>
          <w:szCs w:val="32"/>
        </w:rPr>
        <w:t>万元</w:t>
      </w:r>
      <w:r>
        <w:rPr>
          <w:rFonts w:ascii="宋体" w:hAnsi="宋体"/>
          <w:sz w:val="32"/>
          <w:szCs w:val="32"/>
        </w:rPr>
        <w:t>.</w:t>
      </w:r>
    </w:p>
    <w:p>
      <w:pPr>
        <w:pStyle w:val="13"/>
        <w:rPr>
          <w:rFonts w:hAnsi="黑体"/>
          <w:b/>
          <w:sz w:val="32"/>
          <w:szCs w:val="32"/>
        </w:rPr>
      </w:pPr>
      <w:r>
        <w:rPr>
          <w:rFonts w:hint="eastAsia" w:hAnsi="黑体"/>
          <w:b/>
          <w:sz w:val="32"/>
          <w:szCs w:val="32"/>
        </w:rPr>
        <w:t>八、政府性基金预算收入支出决算情况</w:t>
      </w:r>
    </w:p>
    <w:p>
      <w:pPr>
        <w:pStyle w:val="13"/>
        <w:rPr>
          <w:rFonts w:ascii="宋体" w:hAnsi="宋体" w:eastAsia="宋体"/>
          <w:i/>
          <w:color w:val="FF0000"/>
          <w:sz w:val="32"/>
          <w:szCs w:val="32"/>
        </w:rPr>
      </w:pPr>
      <w:r>
        <w:rPr>
          <w:rFonts w:ascii="宋体" w:hAnsi="宋体" w:eastAsia="宋体"/>
          <w:sz w:val="32"/>
          <w:szCs w:val="32"/>
        </w:rPr>
        <w:t xml:space="preserve">     2021</w:t>
      </w:r>
      <w:r>
        <w:rPr>
          <w:rFonts w:hint="eastAsia" w:ascii="宋体" w:hAnsi="宋体" w:eastAsia="宋体"/>
          <w:sz w:val="32"/>
          <w:szCs w:val="32"/>
        </w:rPr>
        <w:t>年度政府性基金预算财政拨款收入</w:t>
      </w:r>
      <w:r>
        <w:rPr>
          <w:rFonts w:ascii="宋体" w:hAnsi="宋体" w:eastAsia="宋体"/>
          <w:sz w:val="32"/>
          <w:szCs w:val="32"/>
        </w:rPr>
        <w:t>1138</w:t>
      </w:r>
      <w:r>
        <w:rPr>
          <w:rFonts w:hint="eastAsia" w:ascii="宋体" w:hAnsi="宋体" w:eastAsia="宋体"/>
          <w:sz w:val="32"/>
          <w:szCs w:val="32"/>
        </w:rPr>
        <w:t>万元；年初结转和结余</w:t>
      </w:r>
      <w:r>
        <w:rPr>
          <w:rFonts w:ascii="宋体" w:hAnsi="宋体" w:eastAsia="宋体"/>
          <w:sz w:val="32"/>
          <w:szCs w:val="32"/>
        </w:rPr>
        <w:t>0</w:t>
      </w:r>
      <w:r>
        <w:rPr>
          <w:rFonts w:hint="eastAsia" w:ascii="宋体" w:hAnsi="宋体" w:eastAsia="宋体"/>
          <w:sz w:val="32"/>
          <w:szCs w:val="32"/>
        </w:rPr>
        <w:t>万元；支出</w:t>
      </w:r>
      <w:r>
        <w:rPr>
          <w:rFonts w:ascii="宋体" w:hAnsi="宋体" w:eastAsia="宋体"/>
          <w:sz w:val="32"/>
          <w:szCs w:val="32"/>
        </w:rPr>
        <w:t>1138</w:t>
      </w:r>
      <w:r>
        <w:rPr>
          <w:rFonts w:hint="eastAsia" w:ascii="宋体" w:hAnsi="宋体" w:eastAsia="宋体"/>
          <w:sz w:val="32"/>
          <w:szCs w:val="32"/>
        </w:rPr>
        <w:t>万元，其中基本支出</w:t>
      </w:r>
      <w:r>
        <w:rPr>
          <w:rFonts w:ascii="宋体" w:hAnsi="宋体" w:eastAsia="宋体"/>
          <w:sz w:val="32"/>
          <w:szCs w:val="32"/>
        </w:rPr>
        <w:t>0</w:t>
      </w:r>
      <w:r>
        <w:rPr>
          <w:rFonts w:hint="eastAsia" w:ascii="宋体" w:hAnsi="宋体" w:eastAsia="宋体"/>
          <w:sz w:val="32"/>
          <w:szCs w:val="32"/>
        </w:rPr>
        <w:t>万元，项目支出</w:t>
      </w:r>
      <w:r>
        <w:rPr>
          <w:rFonts w:ascii="宋体" w:hAnsi="宋体" w:eastAsia="宋体"/>
          <w:sz w:val="32"/>
          <w:szCs w:val="32"/>
        </w:rPr>
        <w:t>1138</w:t>
      </w:r>
      <w:r>
        <w:rPr>
          <w:rFonts w:hint="eastAsia" w:ascii="宋体" w:hAnsi="宋体" w:eastAsia="宋体"/>
          <w:sz w:val="32"/>
          <w:szCs w:val="32"/>
        </w:rPr>
        <w:t>万元；年末结转和结余</w:t>
      </w:r>
      <w:r>
        <w:rPr>
          <w:rFonts w:ascii="宋体" w:hAnsi="宋体" w:eastAsia="宋体"/>
          <w:sz w:val="32"/>
          <w:szCs w:val="32"/>
        </w:rPr>
        <w:t>0</w:t>
      </w:r>
      <w:r>
        <w:rPr>
          <w:rFonts w:hint="eastAsia" w:ascii="宋体" w:hAnsi="宋体" w:eastAsia="宋体"/>
          <w:sz w:val="32"/>
          <w:szCs w:val="32"/>
        </w:rPr>
        <w:t>万元。具体情况如下：</w:t>
      </w:r>
    </w:p>
    <w:p>
      <w:pPr>
        <w:pStyle w:val="13"/>
        <w:ind w:firstLine="640" w:firstLineChars="20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、城乡社区支出（类）国有土地使用权出让收入安排的支出（款）征地和拆迁补偿支出（项）。</w:t>
      </w:r>
    </w:p>
    <w:p>
      <w:pPr>
        <w:pStyle w:val="13"/>
        <w:ind w:firstLine="640" w:firstLineChars="20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830</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，决算数大于年初预算数的主要原因是：种子贮备中心棚户区改造项目征拆安置资金（土地出让金）。</w:t>
      </w:r>
    </w:p>
    <w:p>
      <w:pPr>
        <w:pStyle w:val="13"/>
        <w:ind w:firstLine="640" w:firstLineChars="20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、城乡社区支出（类）国有土地使用权出让收入安排的支出（款）农村基础设施建设支出（项）。</w:t>
      </w:r>
    </w:p>
    <w:p>
      <w:pPr>
        <w:pStyle w:val="13"/>
        <w:ind w:firstLine="640" w:firstLineChars="20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303</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，决算数大于年初预算数的主要原因是：农村人居环境作业服务费。</w:t>
      </w:r>
    </w:p>
    <w:p>
      <w:pPr>
        <w:pStyle w:val="13"/>
        <w:ind w:firstLine="640" w:firstLineChars="200"/>
        <w:rPr>
          <w:rFonts w:ascii="宋体" w:hAnsi="宋体" w:eastAsia="宋体"/>
          <w:sz w:val="32"/>
          <w:szCs w:val="32"/>
        </w:rPr>
      </w:pPr>
      <w:r>
        <w:rPr>
          <w:rFonts w:ascii="宋体" w:hAnsi="宋体" w:eastAsia="宋体"/>
          <w:sz w:val="32"/>
          <w:szCs w:val="32"/>
        </w:rPr>
        <w:t>3</w:t>
      </w:r>
      <w:r>
        <w:rPr>
          <w:rFonts w:hint="eastAsia" w:ascii="宋体" w:hAnsi="宋体" w:eastAsia="宋体"/>
          <w:sz w:val="32"/>
          <w:szCs w:val="32"/>
        </w:rPr>
        <w:t>、其他支出（类）其他政府性基金及对应专项债务收入安排的支出（款）</w:t>
      </w:r>
      <w:r>
        <w:rPr>
          <w:rFonts w:ascii="宋体" w:hAnsi="宋体" w:eastAsia="宋体"/>
          <w:sz w:val="32"/>
          <w:szCs w:val="32"/>
        </w:rPr>
        <w:t xml:space="preserve">  </w:t>
      </w:r>
      <w:r>
        <w:rPr>
          <w:rFonts w:hint="eastAsia" w:ascii="宋体" w:hAnsi="宋体" w:eastAsia="宋体"/>
          <w:sz w:val="32"/>
          <w:szCs w:val="32"/>
        </w:rPr>
        <w:t>其他政府性基金安排的支出（项）。</w:t>
      </w:r>
    </w:p>
    <w:p>
      <w:pPr>
        <w:pStyle w:val="13"/>
        <w:ind w:firstLine="640" w:firstLineChars="20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5</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，决算数大于年初预算数的主要原因是：巴南湖采区部门监管工作经费。</w:t>
      </w:r>
    </w:p>
    <w:p>
      <w:pPr>
        <w:pStyle w:val="13"/>
        <w:rPr>
          <w:rFonts w:hAnsi="黑体"/>
          <w:b/>
          <w:sz w:val="32"/>
          <w:szCs w:val="32"/>
        </w:rPr>
      </w:pPr>
      <w:r>
        <w:rPr>
          <w:rFonts w:hint="eastAsia" w:hAnsi="黑体"/>
          <w:b/>
          <w:sz w:val="32"/>
          <w:szCs w:val="32"/>
        </w:rPr>
        <w:t>九、机关运行经费支出说明</w:t>
      </w:r>
    </w:p>
    <w:p>
      <w:pPr>
        <w:pStyle w:val="13"/>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2021</w:t>
      </w:r>
      <w:r>
        <w:rPr>
          <w:rFonts w:hint="eastAsia" w:ascii="宋体" w:hAnsi="宋体" w:eastAsia="宋体"/>
          <w:sz w:val="32"/>
          <w:szCs w:val="32"/>
        </w:rPr>
        <w:t>年度机关运行经费支出</w:t>
      </w:r>
      <w:r>
        <w:rPr>
          <w:rFonts w:ascii="仿宋_GB2312" w:hAnsi="仿宋" w:eastAsia="仿宋_GB2312" w:cs="仿宋"/>
          <w:bCs/>
          <w:sz w:val="32"/>
          <w:szCs w:val="32"/>
        </w:rPr>
        <w:t>423.11</w:t>
      </w:r>
      <w:r>
        <w:rPr>
          <w:rFonts w:hint="eastAsia" w:ascii="宋体" w:hAnsi="宋体" w:eastAsia="宋体"/>
          <w:sz w:val="32"/>
          <w:szCs w:val="32"/>
        </w:rPr>
        <w:t>万元，比年初预算数（或者上年决算数）增加（减少）</w:t>
      </w:r>
      <w:r>
        <w:rPr>
          <w:rFonts w:ascii="宋体" w:hAnsi="宋体" w:eastAsia="宋体"/>
          <w:sz w:val="32"/>
          <w:szCs w:val="32"/>
        </w:rPr>
        <w:t xml:space="preserve">-26 </w:t>
      </w:r>
      <w:r>
        <w:rPr>
          <w:rFonts w:hint="eastAsia" w:ascii="宋体" w:hAnsi="宋体" w:eastAsia="宋体"/>
          <w:sz w:val="32"/>
          <w:szCs w:val="32"/>
        </w:rPr>
        <w:t>万元，增长（降低）</w:t>
      </w:r>
      <w:r>
        <w:rPr>
          <w:rFonts w:ascii="宋体" w:hAnsi="宋体" w:eastAsia="宋体"/>
          <w:sz w:val="32"/>
          <w:szCs w:val="32"/>
        </w:rPr>
        <w:t>-5.7%</w:t>
      </w:r>
      <w:r>
        <w:rPr>
          <w:rFonts w:hint="eastAsia" w:ascii="宋体" w:hAnsi="宋体" w:eastAsia="宋体"/>
          <w:sz w:val="32"/>
          <w:szCs w:val="32"/>
        </w:rPr>
        <w:t>。主要原因是：厉行节约。</w:t>
      </w:r>
    </w:p>
    <w:p>
      <w:pPr>
        <w:pStyle w:val="13"/>
        <w:rPr>
          <w:rFonts w:hAnsi="黑体"/>
          <w:b/>
          <w:sz w:val="32"/>
          <w:szCs w:val="32"/>
        </w:rPr>
      </w:pPr>
      <w:r>
        <w:rPr>
          <w:rFonts w:hint="eastAsia" w:hAnsi="黑体"/>
          <w:b/>
          <w:sz w:val="32"/>
          <w:szCs w:val="32"/>
        </w:rPr>
        <w:t>十、一般性支出情况说明</w:t>
      </w:r>
    </w:p>
    <w:p>
      <w:pPr>
        <w:widowControl/>
        <w:ind w:firstLine="640" w:firstLineChars="200"/>
        <w:jc w:val="left"/>
        <w:rPr>
          <w:rFonts w:hint="eastAsia" w:ascii="宋体" w:hAnsi="宋体"/>
          <w:sz w:val="32"/>
          <w:szCs w:val="32"/>
        </w:rPr>
      </w:pPr>
      <w:r>
        <w:rPr>
          <w:rFonts w:ascii="宋体" w:hAnsi="宋体"/>
          <w:sz w:val="32"/>
          <w:szCs w:val="32"/>
        </w:rPr>
        <w:t>2021</w:t>
      </w:r>
      <w:r>
        <w:rPr>
          <w:rFonts w:hint="eastAsia" w:ascii="宋体" w:hAnsi="宋体"/>
          <w:sz w:val="32"/>
          <w:szCs w:val="32"/>
        </w:rPr>
        <w:t>年本部门开支会议费</w:t>
      </w:r>
      <w:r>
        <w:rPr>
          <w:rFonts w:ascii="宋体" w:hAnsi="宋体"/>
          <w:sz w:val="32"/>
          <w:szCs w:val="32"/>
        </w:rPr>
        <w:t>22.48</w:t>
      </w:r>
      <w:r>
        <w:rPr>
          <w:rFonts w:hint="eastAsia" w:ascii="宋体" w:hAnsi="宋体"/>
          <w:sz w:val="32"/>
          <w:szCs w:val="32"/>
        </w:rPr>
        <w:t>万元，用于召开农业生产工作等会议，人数约</w:t>
      </w:r>
      <w:r>
        <w:rPr>
          <w:rFonts w:ascii="宋体" w:hAnsi="宋体"/>
          <w:sz w:val="32"/>
          <w:szCs w:val="32"/>
        </w:rPr>
        <w:t>2000</w:t>
      </w:r>
      <w:r>
        <w:rPr>
          <w:rFonts w:hint="eastAsia" w:ascii="宋体" w:hAnsi="宋体"/>
          <w:sz w:val="32"/>
          <w:szCs w:val="32"/>
        </w:rPr>
        <w:t>人，内容主要</w:t>
      </w:r>
      <w:r>
        <w:rPr>
          <w:rFonts w:hint="eastAsia" w:ascii="宋体" w:hAnsi="宋体"/>
          <w:sz w:val="32"/>
          <w:szCs w:val="32"/>
        </w:rPr>
        <w:t>包含农村社会事业、农村公共服务、农村文化、农村基础设施和乡村治理等内容；开支培训费119.19</w:t>
      </w:r>
      <w:r>
        <w:rPr>
          <w:rFonts w:hint="eastAsia" w:ascii="宋体" w:hAnsi="宋体"/>
          <w:sz w:val="32"/>
          <w:szCs w:val="32"/>
        </w:rPr>
        <w:t>万元，用于培训，人数约10000</w:t>
      </w:r>
      <w:r>
        <w:rPr>
          <w:rFonts w:hint="eastAsia" w:ascii="宋体" w:hAnsi="宋体"/>
          <w:sz w:val="32"/>
          <w:szCs w:val="32"/>
        </w:rPr>
        <w:t>人，内容为组织进行农业农村粮食生产培训、新型农民职业技能培育、农业保险等活动。</w:t>
      </w:r>
    </w:p>
    <w:p>
      <w:pPr>
        <w:pStyle w:val="13"/>
        <w:rPr>
          <w:rFonts w:hAnsi="黑体"/>
          <w:b/>
          <w:sz w:val="32"/>
          <w:szCs w:val="32"/>
        </w:rPr>
      </w:pPr>
      <w:r>
        <w:rPr>
          <w:rFonts w:hint="eastAsia" w:hAnsi="黑体"/>
          <w:b/>
          <w:sz w:val="32"/>
          <w:szCs w:val="32"/>
        </w:rPr>
        <w:t>十一、政府采购支出说明</w:t>
      </w:r>
    </w:p>
    <w:p>
      <w:pPr>
        <w:pStyle w:val="13"/>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2021</w:t>
      </w:r>
      <w:r>
        <w:rPr>
          <w:rFonts w:hint="eastAsia" w:ascii="宋体" w:hAnsi="宋体" w:eastAsia="宋体"/>
          <w:sz w:val="32"/>
          <w:szCs w:val="32"/>
        </w:rPr>
        <w:t>年度政府采购支出总额</w:t>
      </w:r>
      <w:r>
        <w:rPr>
          <w:rFonts w:ascii="仿宋" w:eastAsia="仿宋" w:cs="仿宋"/>
          <w:sz w:val="32"/>
          <w:szCs w:val="32"/>
        </w:rPr>
        <w:t>9353.46</w:t>
      </w:r>
      <w:r>
        <w:rPr>
          <w:rFonts w:hint="eastAsia" w:ascii="宋体" w:hAnsi="宋体" w:eastAsia="宋体"/>
          <w:sz w:val="32"/>
          <w:szCs w:val="32"/>
        </w:rPr>
        <w:t>万元，其中：政府采购货物支出</w:t>
      </w:r>
      <w:r>
        <w:rPr>
          <w:rFonts w:ascii="宋体" w:hAnsi="宋体" w:eastAsia="宋体"/>
          <w:sz w:val="32"/>
          <w:szCs w:val="32"/>
        </w:rPr>
        <w:t>3050.03</w:t>
      </w:r>
      <w:r>
        <w:rPr>
          <w:rFonts w:hint="eastAsia" w:ascii="宋体" w:hAnsi="宋体" w:eastAsia="宋体"/>
          <w:sz w:val="32"/>
          <w:szCs w:val="32"/>
        </w:rPr>
        <w:t>万元、政府采购工程支出</w:t>
      </w:r>
      <w:r>
        <w:rPr>
          <w:rFonts w:ascii="宋体" w:hAnsi="宋体" w:eastAsia="宋体"/>
          <w:sz w:val="32"/>
          <w:szCs w:val="32"/>
        </w:rPr>
        <w:t>5647.85</w:t>
      </w:r>
      <w:r>
        <w:rPr>
          <w:rFonts w:hint="eastAsia" w:ascii="宋体" w:hAnsi="宋体" w:eastAsia="宋体"/>
          <w:sz w:val="32"/>
          <w:szCs w:val="32"/>
        </w:rPr>
        <w:t>万元、政府采购服务支出</w:t>
      </w:r>
      <w:r>
        <w:rPr>
          <w:rFonts w:ascii="宋体" w:hAnsi="宋体" w:eastAsia="宋体"/>
          <w:sz w:val="32"/>
          <w:szCs w:val="32"/>
        </w:rPr>
        <w:t>655.58</w:t>
      </w:r>
      <w:r>
        <w:rPr>
          <w:rFonts w:hint="eastAsia" w:ascii="宋体" w:hAnsi="宋体" w:eastAsia="宋体"/>
          <w:sz w:val="32"/>
          <w:szCs w:val="32"/>
        </w:rPr>
        <w:t>万元。授予中小企业合同金额</w:t>
      </w:r>
      <w:r>
        <w:rPr>
          <w:rFonts w:ascii="宋体" w:hAnsi="宋体" w:eastAsia="宋体"/>
          <w:sz w:val="32"/>
          <w:szCs w:val="32"/>
        </w:rPr>
        <w:t>9353.46</w:t>
      </w:r>
      <w:r>
        <w:rPr>
          <w:rFonts w:hint="eastAsia" w:ascii="宋体" w:hAnsi="宋体" w:eastAsia="宋体"/>
          <w:sz w:val="32"/>
          <w:szCs w:val="32"/>
        </w:rPr>
        <w:t>万元，占政府采购支出总额的</w:t>
      </w:r>
      <w:r>
        <w:rPr>
          <w:rFonts w:ascii="宋体" w:hAnsi="宋体" w:eastAsia="宋体"/>
          <w:sz w:val="32"/>
          <w:szCs w:val="32"/>
        </w:rPr>
        <w:t>100%</w:t>
      </w:r>
      <w:r>
        <w:rPr>
          <w:rFonts w:hint="eastAsia" w:ascii="宋体" w:hAnsi="宋体" w:eastAsia="宋体"/>
          <w:sz w:val="32"/>
          <w:szCs w:val="32"/>
        </w:rPr>
        <w:t>，其中：授予小微企业合同金额</w:t>
      </w:r>
      <w:r>
        <w:rPr>
          <w:rFonts w:ascii="宋体" w:hAnsi="宋体" w:eastAsia="宋体"/>
          <w:sz w:val="32"/>
          <w:szCs w:val="32"/>
        </w:rPr>
        <w:t>9353.46</w:t>
      </w:r>
      <w:r>
        <w:rPr>
          <w:rFonts w:hint="eastAsia" w:ascii="宋体" w:hAnsi="宋体" w:eastAsia="宋体"/>
          <w:sz w:val="32"/>
          <w:szCs w:val="32"/>
        </w:rPr>
        <w:t>万元，占授予中小企业合同金额的</w:t>
      </w:r>
      <w:r>
        <w:rPr>
          <w:rFonts w:ascii="宋体" w:hAnsi="宋体" w:eastAsia="宋体"/>
          <w:sz w:val="32"/>
          <w:szCs w:val="32"/>
        </w:rPr>
        <w:t>100%</w:t>
      </w:r>
      <w:r>
        <w:rPr>
          <w:rFonts w:hint="eastAsia" w:ascii="宋体" w:hAnsi="宋体" w:eastAsia="宋体"/>
          <w:sz w:val="32"/>
          <w:szCs w:val="32"/>
        </w:rPr>
        <w:t>；货物采购授予中小企业合同金额占货物支出金额的</w:t>
      </w:r>
      <w:r>
        <w:rPr>
          <w:rFonts w:ascii="宋体" w:hAnsi="宋体" w:eastAsia="宋体"/>
          <w:sz w:val="32"/>
          <w:szCs w:val="32"/>
        </w:rPr>
        <w:t>100%</w:t>
      </w:r>
      <w:r>
        <w:rPr>
          <w:rFonts w:hint="eastAsia" w:ascii="宋体" w:hAnsi="宋体" w:eastAsia="宋体"/>
          <w:sz w:val="32"/>
          <w:szCs w:val="32"/>
        </w:rPr>
        <w:t>，工程采购授予中小企业合同金额占工程支出金额的</w:t>
      </w:r>
      <w:r>
        <w:rPr>
          <w:rFonts w:ascii="宋体" w:hAnsi="宋体" w:eastAsia="宋体"/>
          <w:sz w:val="32"/>
          <w:szCs w:val="32"/>
        </w:rPr>
        <w:t>100%</w:t>
      </w:r>
      <w:r>
        <w:rPr>
          <w:rFonts w:hint="eastAsia" w:ascii="宋体" w:hAnsi="宋体" w:eastAsia="宋体"/>
          <w:sz w:val="32"/>
          <w:szCs w:val="32"/>
        </w:rPr>
        <w:t>，服务采购授予中小企业合同金额占服务支出金额的</w:t>
      </w:r>
      <w:r>
        <w:rPr>
          <w:rFonts w:ascii="宋体" w:hAnsi="宋体" w:eastAsia="宋体"/>
          <w:sz w:val="32"/>
          <w:szCs w:val="32"/>
        </w:rPr>
        <w:t>100%</w:t>
      </w:r>
      <w:r>
        <w:rPr>
          <w:rFonts w:hint="eastAsia" w:ascii="宋体" w:hAnsi="宋体" w:eastAsia="宋体"/>
          <w:sz w:val="32"/>
          <w:szCs w:val="32"/>
        </w:rPr>
        <w:t>。</w:t>
      </w:r>
    </w:p>
    <w:p>
      <w:pPr>
        <w:pStyle w:val="13"/>
        <w:rPr>
          <w:rFonts w:hAnsi="黑体"/>
          <w:b/>
          <w:sz w:val="32"/>
          <w:szCs w:val="32"/>
        </w:rPr>
      </w:pPr>
      <w:r>
        <w:rPr>
          <w:rFonts w:hint="eastAsia" w:hAnsi="黑体"/>
          <w:b/>
          <w:sz w:val="32"/>
          <w:szCs w:val="32"/>
        </w:rPr>
        <w:t>十二、国有资产占用情况说明</w:t>
      </w:r>
    </w:p>
    <w:p>
      <w:pPr>
        <w:pStyle w:val="13"/>
        <w:ind w:firstLine="640" w:firstLineChars="200"/>
        <w:rPr>
          <w:rFonts w:ascii="宋体" w:hAnsi="宋体" w:eastAsia="宋体"/>
          <w:sz w:val="32"/>
          <w:szCs w:val="32"/>
        </w:rPr>
      </w:pPr>
      <w:r>
        <w:rPr>
          <w:rFonts w:hint="eastAsia" w:ascii="宋体" w:hAnsi="宋体" w:eastAsia="宋体"/>
          <w:sz w:val="32"/>
          <w:szCs w:val="32"/>
        </w:rPr>
        <w:t>截至</w:t>
      </w:r>
      <w:r>
        <w:rPr>
          <w:rFonts w:ascii="宋体" w:hAnsi="宋体" w:eastAsia="宋体"/>
          <w:sz w:val="32"/>
          <w:szCs w:val="32"/>
        </w:rPr>
        <w:t>2021</w:t>
      </w:r>
      <w:r>
        <w:rPr>
          <w:rFonts w:hint="eastAsia" w:ascii="宋体" w:hAnsi="宋体" w:eastAsia="宋体"/>
          <w:sz w:val="32"/>
          <w:szCs w:val="32"/>
        </w:rPr>
        <w:t>年</w:t>
      </w:r>
      <w:r>
        <w:rPr>
          <w:rFonts w:ascii="宋体" w:hAnsi="宋体" w:eastAsia="宋体"/>
          <w:sz w:val="32"/>
          <w:szCs w:val="32"/>
        </w:rPr>
        <w:t>12</w:t>
      </w:r>
      <w:r>
        <w:rPr>
          <w:rFonts w:hint="eastAsia" w:ascii="宋体" w:hAnsi="宋体" w:eastAsia="宋体"/>
          <w:sz w:val="32"/>
          <w:szCs w:val="32"/>
        </w:rPr>
        <w:t>月</w:t>
      </w:r>
      <w:r>
        <w:rPr>
          <w:rFonts w:ascii="宋体" w:hAnsi="宋体" w:eastAsia="宋体"/>
          <w:sz w:val="32"/>
          <w:szCs w:val="32"/>
        </w:rPr>
        <w:t>31</w:t>
      </w:r>
      <w:r>
        <w:rPr>
          <w:rFonts w:hint="eastAsia" w:ascii="宋体" w:hAnsi="宋体" w:eastAsia="宋体"/>
          <w:sz w:val="32"/>
          <w:szCs w:val="32"/>
        </w:rPr>
        <w:t>日，本单位共有车辆</w:t>
      </w:r>
      <w:r>
        <w:rPr>
          <w:rFonts w:ascii="宋体" w:hAnsi="宋体" w:eastAsia="宋体"/>
          <w:sz w:val="32"/>
          <w:szCs w:val="32"/>
        </w:rPr>
        <w:t>0</w:t>
      </w:r>
      <w:r>
        <w:rPr>
          <w:rFonts w:hint="eastAsia" w:ascii="宋体" w:hAnsi="宋体" w:eastAsia="宋体"/>
          <w:sz w:val="32"/>
          <w:szCs w:val="32"/>
        </w:rPr>
        <w:t>辆，其中，主要领导干部用车</w:t>
      </w:r>
      <w:r>
        <w:rPr>
          <w:rFonts w:ascii="宋体" w:hAnsi="宋体" w:eastAsia="宋体"/>
          <w:sz w:val="32"/>
          <w:szCs w:val="32"/>
        </w:rPr>
        <w:t>0</w:t>
      </w:r>
      <w:r>
        <w:rPr>
          <w:rFonts w:hint="eastAsia" w:ascii="宋体" w:hAnsi="宋体" w:eastAsia="宋体"/>
          <w:sz w:val="32"/>
          <w:szCs w:val="32"/>
        </w:rPr>
        <w:t>辆，机要通信用车</w:t>
      </w:r>
      <w:r>
        <w:rPr>
          <w:rFonts w:ascii="宋体" w:hAnsi="宋体" w:eastAsia="宋体"/>
          <w:sz w:val="32"/>
          <w:szCs w:val="32"/>
        </w:rPr>
        <w:t>0</w:t>
      </w:r>
      <w:r>
        <w:rPr>
          <w:rFonts w:hint="eastAsia" w:ascii="宋体" w:hAnsi="宋体" w:eastAsia="宋体"/>
          <w:sz w:val="32"/>
          <w:szCs w:val="32"/>
        </w:rPr>
        <w:t>辆、应急保障用车</w:t>
      </w:r>
      <w:r>
        <w:rPr>
          <w:rFonts w:ascii="宋体" w:hAnsi="宋体" w:eastAsia="宋体"/>
          <w:sz w:val="32"/>
          <w:szCs w:val="32"/>
        </w:rPr>
        <w:t>0</w:t>
      </w:r>
      <w:r>
        <w:rPr>
          <w:rFonts w:hint="eastAsia" w:ascii="宋体" w:hAnsi="宋体" w:eastAsia="宋体"/>
          <w:sz w:val="32"/>
          <w:szCs w:val="32"/>
        </w:rPr>
        <w:t>辆、执法执勤用车</w:t>
      </w:r>
      <w:r>
        <w:rPr>
          <w:rFonts w:ascii="宋体" w:hAnsi="宋体" w:eastAsia="宋体"/>
          <w:sz w:val="32"/>
          <w:szCs w:val="32"/>
        </w:rPr>
        <w:t>0</w:t>
      </w:r>
      <w:r>
        <w:rPr>
          <w:rFonts w:hint="eastAsia" w:ascii="宋体" w:hAnsi="宋体" w:eastAsia="宋体"/>
          <w:sz w:val="32"/>
          <w:szCs w:val="32"/>
        </w:rPr>
        <w:t>辆、特种专业技术用车</w:t>
      </w:r>
      <w:r>
        <w:rPr>
          <w:rFonts w:ascii="宋体" w:hAnsi="宋体" w:eastAsia="宋体"/>
          <w:sz w:val="32"/>
          <w:szCs w:val="32"/>
        </w:rPr>
        <w:t>0</w:t>
      </w:r>
      <w:r>
        <w:rPr>
          <w:rFonts w:hint="eastAsia" w:ascii="宋体" w:hAnsi="宋体" w:eastAsia="宋体"/>
          <w:sz w:val="32"/>
          <w:szCs w:val="32"/>
        </w:rPr>
        <w:t>辆、其他用车</w:t>
      </w:r>
      <w:r>
        <w:rPr>
          <w:rFonts w:ascii="宋体" w:hAnsi="宋体" w:eastAsia="宋体"/>
          <w:sz w:val="32"/>
          <w:szCs w:val="32"/>
        </w:rPr>
        <w:t>0</w:t>
      </w:r>
      <w:r>
        <w:rPr>
          <w:rFonts w:hint="eastAsia" w:ascii="宋体" w:hAnsi="宋体" w:eastAsia="宋体"/>
          <w:sz w:val="32"/>
          <w:szCs w:val="32"/>
        </w:rPr>
        <w:t>辆；单位价值</w:t>
      </w:r>
      <w:r>
        <w:rPr>
          <w:rFonts w:ascii="宋体" w:hAnsi="宋体" w:eastAsia="宋体"/>
          <w:sz w:val="32"/>
          <w:szCs w:val="32"/>
        </w:rPr>
        <w:t>50</w:t>
      </w:r>
      <w:r>
        <w:rPr>
          <w:rFonts w:hint="eastAsia" w:ascii="宋体" w:hAnsi="宋体" w:eastAsia="宋体"/>
          <w:sz w:val="32"/>
          <w:szCs w:val="32"/>
        </w:rPr>
        <w:t>万元以上通用设备</w:t>
      </w:r>
      <w:r>
        <w:rPr>
          <w:rFonts w:ascii="宋体" w:hAnsi="宋体" w:eastAsia="宋体"/>
          <w:sz w:val="32"/>
          <w:szCs w:val="32"/>
        </w:rPr>
        <w:t>0</w:t>
      </w:r>
      <w:r>
        <w:rPr>
          <w:rFonts w:hint="eastAsia" w:ascii="宋体" w:hAnsi="宋体" w:eastAsia="宋体"/>
          <w:sz w:val="32"/>
          <w:szCs w:val="32"/>
        </w:rPr>
        <w:t>台（套）；单位价值</w:t>
      </w:r>
      <w:r>
        <w:rPr>
          <w:rFonts w:ascii="宋体" w:hAnsi="宋体" w:eastAsia="宋体"/>
          <w:sz w:val="32"/>
          <w:szCs w:val="32"/>
        </w:rPr>
        <w:t>100</w:t>
      </w:r>
      <w:r>
        <w:rPr>
          <w:rFonts w:hint="eastAsia" w:ascii="宋体" w:hAnsi="宋体" w:eastAsia="宋体"/>
          <w:sz w:val="32"/>
          <w:szCs w:val="32"/>
        </w:rPr>
        <w:t>万元以上专用设备</w:t>
      </w:r>
      <w:r>
        <w:rPr>
          <w:rFonts w:ascii="宋体" w:hAnsi="宋体" w:eastAsia="宋体"/>
          <w:sz w:val="32"/>
          <w:szCs w:val="32"/>
        </w:rPr>
        <w:t>0</w:t>
      </w:r>
      <w:r>
        <w:rPr>
          <w:rFonts w:hint="eastAsia" w:ascii="宋体" w:hAnsi="宋体" w:eastAsia="宋体"/>
          <w:sz w:val="32"/>
          <w:szCs w:val="32"/>
        </w:rPr>
        <w:t>台（套）。</w:t>
      </w:r>
    </w:p>
    <w:p>
      <w:pPr>
        <w:pStyle w:val="13"/>
        <w:rPr>
          <w:rFonts w:hAnsi="黑体"/>
          <w:b/>
          <w:sz w:val="32"/>
          <w:szCs w:val="32"/>
        </w:rPr>
      </w:pPr>
      <w:r>
        <w:rPr>
          <w:rFonts w:hint="eastAsia" w:hAnsi="黑体"/>
          <w:b/>
          <w:sz w:val="32"/>
          <w:szCs w:val="32"/>
        </w:rPr>
        <w:t>十三、</w:t>
      </w:r>
      <w:r>
        <w:rPr>
          <w:rFonts w:hAnsi="黑体"/>
          <w:b/>
          <w:sz w:val="32"/>
          <w:szCs w:val="32"/>
        </w:rPr>
        <w:t>2021</w:t>
      </w:r>
      <w:r>
        <w:rPr>
          <w:rFonts w:hint="eastAsia" w:hAnsi="黑体"/>
          <w:b/>
          <w:sz w:val="32"/>
          <w:szCs w:val="32"/>
        </w:rPr>
        <w:t>年度预算绩效情况说明</w:t>
      </w:r>
    </w:p>
    <w:p>
      <w:pPr>
        <w:autoSpaceDE w:val="0"/>
        <w:autoSpaceDN w:val="0"/>
        <w:adjustRightInd w:val="0"/>
        <w:ind w:firstLine="640" w:firstLineChars="200"/>
        <w:jc w:val="left"/>
        <w:rPr>
          <w:rFonts w:asci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1</w:t>
      </w:r>
      <w:r>
        <w:rPr>
          <w:rFonts w:hint="eastAsia" w:ascii="宋体" w:hAnsi="宋体" w:cs="黑体"/>
          <w:b/>
          <w:color w:val="000000"/>
          <w:kern w:val="0"/>
          <w:sz w:val="32"/>
          <w:szCs w:val="32"/>
        </w:rPr>
        <w:t>）绩效管理评价工作开展情况</w:t>
      </w:r>
      <w:r>
        <w:rPr>
          <w:rFonts w:hint="eastAsia" w:ascii="宋体" w:hAnsi="宋体" w:cs="黑体"/>
          <w:color w:val="000000"/>
          <w:kern w:val="0"/>
          <w:sz w:val="32"/>
          <w:szCs w:val="32"/>
        </w:rPr>
        <w:t>。</w:t>
      </w:r>
    </w:p>
    <w:p>
      <w:pPr>
        <w:ind w:firstLine="640" w:firstLineChars="200"/>
        <w:rPr>
          <w:rFonts w:hint="eastAsia" w:ascii="宋体" w:cs="黑体"/>
          <w:color w:val="000000"/>
          <w:kern w:val="0"/>
          <w:sz w:val="32"/>
          <w:szCs w:val="32"/>
        </w:rPr>
      </w:pPr>
      <w:r>
        <w:rPr>
          <w:rFonts w:hint="eastAsia" w:ascii="宋体" w:hAnsi="宋体" w:cs="黑体"/>
          <w:color w:val="000000"/>
          <w:kern w:val="0"/>
          <w:sz w:val="32"/>
          <w:szCs w:val="32"/>
        </w:rPr>
        <w:t>1.2021专项资金支出</w:t>
      </w:r>
      <w:r>
        <w:rPr>
          <w:rFonts w:hint="eastAsia" w:ascii="宋体" w:hAnsi="宋体" w:cs="黑体"/>
          <w:color w:val="000000"/>
          <w:kern w:val="0"/>
          <w:sz w:val="32"/>
          <w:szCs w:val="32"/>
          <w:lang w:val="en-US" w:eastAsia="zh-CN"/>
        </w:rPr>
        <w:t>19564.62</w:t>
      </w:r>
      <w:r>
        <w:rPr>
          <w:rFonts w:hint="eastAsia" w:ascii="宋体" w:hAnsi="宋体" w:cs="黑体"/>
          <w:color w:val="000000"/>
          <w:kern w:val="0"/>
          <w:sz w:val="32"/>
          <w:szCs w:val="32"/>
        </w:rPr>
        <w:t>万元，预算</w:t>
      </w:r>
      <w:r>
        <w:rPr>
          <w:rFonts w:hint="eastAsia" w:ascii="宋体" w:hAnsi="宋体" w:cs="黑体"/>
          <w:color w:val="000000"/>
          <w:kern w:val="0"/>
          <w:sz w:val="32"/>
          <w:szCs w:val="32"/>
          <w:lang w:val="en-US" w:eastAsia="zh-CN"/>
        </w:rPr>
        <w:t>126</w:t>
      </w:r>
      <w:r>
        <w:rPr>
          <w:rFonts w:hint="eastAsia" w:ascii="宋体" w:hAnsi="宋体" w:cs="黑体"/>
          <w:color w:val="000000"/>
          <w:kern w:val="0"/>
          <w:sz w:val="32"/>
          <w:szCs w:val="32"/>
        </w:rPr>
        <w:t>万元，实际到位</w:t>
      </w:r>
      <w:r>
        <w:rPr>
          <w:rFonts w:hint="eastAsia" w:ascii="宋体" w:hAnsi="宋体" w:cs="黑体"/>
          <w:color w:val="000000"/>
          <w:kern w:val="0"/>
          <w:sz w:val="32"/>
          <w:szCs w:val="32"/>
          <w:lang w:val="en-US" w:eastAsia="zh-CN"/>
        </w:rPr>
        <w:t>19564.62</w:t>
      </w:r>
      <w:r>
        <w:rPr>
          <w:rFonts w:hint="eastAsia" w:ascii="宋体" w:hAnsi="宋体" w:cs="黑体"/>
          <w:color w:val="000000"/>
          <w:kern w:val="0"/>
          <w:sz w:val="32"/>
          <w:szCs w:val="32"/>
        </w:rPr>
        <w:t>万元，完成率100%。总体评价：项目监管到位，完成的较高，追加的项目也得到了有效的保障，各项收益明显，群众反响较好，社会生态效益显著。</w:t>
      </w:r>
    </w:p>
    <w:p>
      <w:pPr>
        <w:ind w:firstLine="640" w:firstLineChars="200"/>
        <w:rPr>
          <w:rFonts w:hint="eastAsia" w:ascii="仿宋" w:hAnsi="仿宋" w:eastAsia="仿宋" w:cs="宋体"/>
          <w:color w:val="000000"/>
          <w:kern w:val="0"/>
          <w:sz w:val="32"/>
          <w:szCs w:val="32"/>
        </w:rPr>
      </w:pPr>
      <w:r>
        <w:rPr>
          <w:rFonts w:hint="eastAsia" w:ascii="宋体" w:hAnsi="宋体" w:cs="黑体"/>
          <w:color w:val="000000"/>
          <w:kern w:val="0"/>
          <w:sz w:val="32"/>
          <w:szCs w:val="32"/>
        </w:rPr>
        <w:t>2. 我单位严格按照年初预算进行部门整体支出，真对照评估指标，按照年度工作计划扎实推进2021年度财政支出绩效自评工作。总的来说，2021年我</w:t>
      </w:r>
      <w:r>
        <w:rPr>
          <w:rFonts w:hint="eastAsia" w:ascii="宋体" w:hAnsi="宋体" w:cs="黑体"/>
          <w:color w:val="000000"/>
          <w:kern w:val="0"/>
          <w:sz w:val="32"/>
          <w:szCs w:val="32"/>
          <w:lang w:val="en-US" w:eastAsia="zh-CN"/>
        </w:rPr>
        <w:t>局</w:t>
      </w:r>
      <w:r>
        <w:rPr>
          <w:rFonts w:hint="eastAsia" w:ascii="宋体" w:hAnsi="宋体" w:cs="黑体"/>
          <w:color w:val="000000"/>
          <w:kern w:val="0"/>
          <w:sz w:val="32"/>
          <w:szCs w:val="32"/>
        </w:rPr>
        <w:t>全体干部职工积极履职、扎实工作，较好完成了全年工作目标</w:t>
      </w:r>
      <w:r>
        <w:rPr>
          <w:rFonts w:hint="eastAsia" w:ascii="仿宋" w:hAnsi="仿宋" w:eastAsia="仿宋" w:cs="宋体"/>
          <w:color w:val="000000"/>
          <w:kern w:val="0"/>
          <w:sz w:val="32"/>
          <w:szCs w:val="32"/>
        </w:rPr>
        <w:t>。</w:t>
      </w:r>
    </w:p>
    <w:p>
      <w:pPr>
        <w:autoSpaceDE w:val="0"/>
        <w:autoSpaceDN w:val="0"/>
        <w:adjustRightInd w:val="0"/>
        <w:ind w:firstLine="640" w:firstLineChars="200"/>
        <w:jc w:val="left"/>
        <w:rPr>
          <w:rFonts w:ascii="宋体" w:cs="黑体"/>
          <w:b/>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2</w:t>
      </w:r>
      <w:r>
        <w:rPr>
          <w:rFonts w:hint="eastAsia" w:ascii="宋体" w:hAnsi="宋体" w:cs="黑体"/>
          <w:b/>
          <w:color w:val="000000"/>
          <w:kern w:val="0"/>
          <w:sz w:val="32"/>
          <w:szCs w:val="32"/>
        </w:rPr>
        <w:t>）部门决算中项目绩效自评结果。</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rPr>
        <w:t>在专项资金组织管理上，为贯彻落实《财政部关于进一步加强中央农口部门预算项目支出管理的通知》（财农[2006]37号）</w:t>
      </w:r>
      <w:r>
        <w:rPr>
          <w:rFonts w:hint="eastAsia" w:ascii="宋体" w:hAnsi="宋体" w:cs="黑体"/>
          <w:color w:val="000000"/>
          <w:kern w:val="0"/>
          <w:sz w:val="32"/>
          <w:szCs w:val="32"/>
          <w:lang w:val="en-US" w:eastAsia="zh-CN"/>
        </w:rPr>
        <w:t>精神，加强农业项目管理，切实规范专项资金，保障项目质量和资金安全，充分发挥项目效益，制定了关于《沅江市农业项目管理办法》、《沅江市农业农村局专项资金管理制度》、《沅江市农业农村局机关规章制度》</w:t>
      </w:r>
      <w:r>
        <w:rPr>
          <w:rFonts w:hint="eastAsia" w:ascii="宋体" w:hAnsi="宋体" w:cs="黑体"/>
          <w:color w:val="000000"/>
          <w:kern w:val="0"/>
          <w:sz w:val="32"/>
          <w:szCs w:val="32"/>
        </w:rPr>
        <w:t>，</w:t>
      </w:r>
      <w:r>
        <w:rPr>
          <w:rFonts w:hint="eastAsia" w:ascii="宋体" w:hAnsi="宋体" w:cs="黑体"/>
          <w:color w:val="000000"/>
          <w:kern w:val="0"/>
          <w:sz w:val="32"/>
          <w:szCs w:val="32"/>
          <w:lang w:val="en-US" w:eastAsia="zh-CN"/>
        </w:rPr>
        <w:t>项目实行</w:t>
      </w:r>
      <w:r>
        <w:rPr>
          <w:rFonts w:hint="eastAsia" w:ascii="宋体" w:hAnsi="宋体" w:cs="黑体"/>
          <w:color w:val="000000"/>
          <w:kern w:val="0"/>
          <w:sz w:val="32"/>
          <w:szCs w:val="32"/>
        </w:rPr>
        <w:t>统一管理</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分工负责的管理体制，</w:t>
      </w:r>
      <w:r>
        <w:rPr>
          <w:rFonts w:hint="eastAsia" w:ascii="宋体" w:hAnsi="宋体" w:cs="黑体"/>
          <w:color w:val="000000"/>
          <w:kern w:val="0"/>
          <w:sz w:val="32"/>
          <w:szCs w:val="32"/>
        </w:rPr>
        <w:t>坚持专款专用，量入为出的原则，使各项专用资金按规定的用途使用并达到预期目的，严禁截留、挪用和不合理支出。我们</w:t>
      </w:r>
      <w:r>
        <w:rPr>
          <w:rFonts w:hint="eastAsia" w:ascii="宋体" w:hAnsi="宋体" w:cs="黑体"/>
          <w:color w:val="000000"/>
          <w:kern w:val="0"/>
          <w:sz w:val="32"/>
          <w:szCs w:val="32"/>
          <w:lang w:val="en-US" w:eastAsia="zh-CN"/>
        </w:rPr>
        <w:t>严格</w:t>
      </w:r>
      <w:r>
        <w:rPr>
          <w:rFonts w:hint="eastAsia" w:ascii="宋体" w:hAnsi="宋体" w:cs="黑体"/>
          <w:color w:val="000000"/>
          <w:kern w:val="0"/>
          <w:sz w:val="32"/>
          <w:szCs w:val="32"/>
        </w:rPr>
        <w:t>按照省局下发</w:t>
      </w:r>
      <w:r>
        <w:rPr>
          <w:rFonts w:hint="eastAsia" w:ascii="宋体" w:hAnsi="宋体" w:cs="黑体"/>
          <w:color w:val="000000"/>
          <w:kern w:val="0"/>
          <w:sz w:val="32"/>
          <w:szCs w:val="32"/>
          <w:lang w:val="en-US" w:eastAsia="zh-CN"/>
        </w:rPr>
        <w:t>文件</w:t>
      </w:r>
      <w:r>
        <w:rPr>
          <w:rFonts w:hint="eastAsia" w:ascii="宋体" w:hAnsi="宋体" w:cs="黑体"/>
          <w:color w:val="000000"/>
          <w:kern w:val="0"/>
          <w:sz w:val="32"/>
          <w:szCs w:val="32"/>
        </w:rPr>
        <w:t>，</w:t>
      </w:r>
      <w:r>
        <w:rPr>
          <w:rFonts w:hint="eastAsia" w:ascii="宋体" w:hAnsi="宋体" w:cs="黑体"/>
          <w:color w:val="000000"/>
          <w:kern w:val="0"/>
          <w:sz w:val="32"/>
          <w:szCs w:val="32"/>
          <w:lang w:val="en-US" w:eastAsia="zh-CN"/>
        </w:rPr>
        <w:t>局建立由局长任组长，分管副局长、驻农业农村局纪检组长为副组长，财务股、项目办以及项目实施相关股站的负责人为成员的农业项目领导小组</w:t>
      </w:r>
      <w:r>
        <w:rPr>
          <w:rFonts w:hint="eastAsia" w:ascii="宋体" w:hAnsi="宋体" w:cs="黑体"/>
          <w:color w:val="000000"/>
          <w:kern w:val="0"/>
          <w:sz w:val="32"/>
          <w:szCs w:val="32"/>
        </w:rPr>
        <w:t>，</w:t>
      </w:r>
      <w:r>
        <w:rPr>
          <w:rFonts w:hint="eastAsia" w:ascii="宋体" w:hAnsi="宋体" w:cs="黑体"/>
          <w:color w:val="000000"/>
          <w:kern w:val="0"/>
          <w:sz w:val="32"/>
          <w:szCs w:val="32"/>
          <w:lang w:val="en-US" w:eastAsia="zh-CN"/>
        </w:rPr>
        <w:t>研究决定项目申报的整体布局方案，</w:t>
      </w:r>
      <w:r>
        <w:rPr>
          <w:rFonts w:hint="eastAsia" w:ascii="宋体" w:hAnsi="宋体" w:cs="黑体"/>
          <w:color w:val="000000"/>
          <w:kern w:val="0"/>
          <w:sz w:val="32"/>
          <w:szCs w:val="32"/>
        </w:rPr>
        <w:t>要求各项目实施单位高度重视项目实施管理工作，切实履行职责，采取有力措施推动项目实施。严格执行会计法和专项资金管理办法，自觉加强专项资金使用管理，设立项目专账，制订完善财务审批制度、出差审批制度、专项资金使用制度等各项管理制度，项目资金使用情况接受财政、审计部门的监督检查，在项目实施过程中和项目完成后，定期或不定期对项目资金的使用进行监督检查，厉行节俭，强化监管，确保专项资金管理规范，促进项目顺利实施。</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cs="黑体"/>
          <w:color w:val="000000"/>
          <w:kern w:val="0"/>
          <w:sz w:val="32"/>
          <w:szCs w:val="32"/>
        </w:rPr>
      </w:pPr>
    </w:p>
    <w:p>
      <w:pPr>
        <w:ind w:firstLine="643"/>
        <w:jc w:val="left"/>
        <w:rPr>
          <w:rFonts w:ascii="仿宋" w:hAnsi="仿宋" w:eastAsia="仿宋" w:cs="仿宋"/>
          <w:sz w:val="32"/>
        </w:rPr>
      </w:pPr>
      <w:r>
        <w:rPr>
          <w:rFonts w:hint="eastAsia" w:ascii="仿宋" w:hAnsi="仿宋" w:eastAsia="仿宋" w:cs="仿宋"/>
          <w:b/>
          <w:sz w:val="32"/>
        </w:rPr>
        <w:t>一、财政拨款收入：</w:t>
      </w:r>
      <w:r>
        <w:rPr>
          <w:rFonts w:hint="eastAsia" w:ascii="仿宋" w:hAnsi="仿宋" w:eastAsia="仿宋" w:cs="仿宋"/>
          <w:sz w:val="32"/>
        </w:rPr>
        <w:t>指中央财政当年拨付的资金。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二、事业收入：</w:t>
      </w:r>
      <w:r>
        <w:rPr>
          <w:rFonts w:hint="eastAsia"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三、经营收入：</w:t>
      </w:r>
      <w:r>
        <w:rPr>
          <w:rFonts w:hint="eastAsia" w:ascii="仿宋" w:hAnsi="仿宋" w:eastAsia="仿宋" w:cs="仿宋"/>
          <w:sz w:val="32"/>
        </w:rPr>
        <w:t>指事业单位在专业业务活动及其辅助活动之外开展非独立核算经营活动取得的收入。如：中国财政杂志社广告收入等。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四、其他收入：</w:t>
      </w:r>
      <w:r>
        <w:rPr>
          <w:rFonts w:hint="eastAsia" w:ascii="仿宋" w:hAnsi="仿宋" w:eastAsia="仿宋" w:cs="仿宋"/>
          <w:sz w:val="32"/>
        </w:rPr>
        <w:t>指除上述“财政拨款收入”</w:t>
      </w:r>
      <w:r>
        <w:rPr>
          <w:rFonts w:ascii="仿宋" w:hAnsi="仿宋" w:eastAsia="仿宋" w:cs="仿宋"/>
          <w:sz w:val="32"/>
        </w:rPr>
        <w:t xml:space="preserve"> </w:t>
      </w:r>
      <w:r>
        <w:rPr>
          <w:rFonts w:hint="eastAsia" w:ascii="仿宋" w:hAnsi="仿宋" w:eastAsia="仿宋" w:cs="仿宋"/>
          <w:sz w:val="32"/>
        </w:rPr>
        <w:t>、</w:t>
      </w:r>
      <w:r>
        <w:rPr>
          <w:rFonts w:ascii="仿宋" w:hAnsi="仿宋" w:eastAsia="仿宋" w:cs="仿宋"/>
          <w:sz w:val="32"/>
        </w:rPr>
        <w:t xml:space="preserve"> </w:t>
      </w:r>
      <w:r>
        <w:rPr>
          <w:rFonts w:hint="eastAsia" w:ascii="仿宋" w:hAnsi="仿宋" w:eastAsia="仿宋" w:cs="仿宋"/>
          <w:sz w:val="32"/>
        </w:rPr>
        <w:t>“事业收入”</w:t>
      </w:r>
      <w:r>
        <w:rPr>
          <w:rFonts w:ascii="仿宋" w:hAnsi="仿宋" w:eastAsia="仿宋" w:cs="仿宋"/>
          <w:sz w:val="32"/>
        </w:rPr>
        <w:t xml:space="preserve"> </w:t>
      </w:r>
      <w:r>
        <w:rPr>
          <w:rFonts w:hint="eastAsia" w:ascii="仿宋" w:hAnsi="仿宋" w:eastAsia="仿宋" w:cs="仿宋"/>
          <w:sz w:val="32"/>
        </w:rPr>
        <w:t>、“经营收入”等以外的收入。主要是按规定动用的售房收入、存款利息收入等。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五、用事业基金弥补收支差额：</w:t>
      </w:r>
      <w:r>
        <w:rPr>
          <w:rFonts w:hint="eastAsia"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六、年初结转和结余：</w:t>
      </w:r>
      <w:r>
        <w:rPr>
          <w:rFonts w:hint="eastAsia" w:ascii="仿宋" w:hAnsi="仿宋" w:eastAsia="仿宋" w:cs="仿宋"/>
          <w:sz w:val="32"/>
        </w:rPr>
        <w:t>指以前年度尚未完成、结转到本年按有关规定继续使用的资金。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七、结余分配：</w:t>
      </w:r>
      <w:r>
        <w:rPr>
          <w:rFonts w:hint="eastAsia"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hint="eastAsia" w:ascii="仿宋" w:hAnsi="仿宋" w:eastAsia="仿宋" w:cs="仿宋"/>
          <w:b/>
          <w:sz w:val="32"/>
        </w:rPr>
        <w:t>八、年末结转和结余：</w:t>
      </w:r>
      <w:r>
        <w:rPr>
          <w:rFonts w:hint="eastAsia" w:ascii="仿宋" w:hAnsi="仿宋" w:eastAsia="仿宋" w:cs="仿宋"/>
          <w:sz w:val="32"/>
        </w:rPr>
        <w:t>指本年度或以前年度预算安排、因客观条件发生变化无法按原计划实施，需要延迟到以后年度按有关规定继续使用的资金。</w:t>
      </w:r>
      <w:r>
        <w:rPr>
          <w:rFonts w:ascii="仿宋" w:hAnsi="仿宋" w:eastAsia="仿宋" w:cs="仿宋"/>
          <w:sz w:val="32"/>
        </w:rPr>
        <w:t xml:space="preserve"> </w:t>
      </w:r>
    </w:p>
    <w:p>
      <w:pPr>
        <w:ind w:firstLine="643"/>
        <w:jc w:val="left"/>
        <w:rPr>
          <w:rFonts w:hint="eastAsia" w:ascii="仿宋" w:hAnsi="仿宋" w:eastAsia="仿宋" w:cs="仿宋"/>
          <w:sz w:val="32"/>
        </w:rPr>
      </w:pPr>
      <w:r>
        <w:rPr>
          <w:rFonts w:hint="eastAsia" w:ascii="仿宋" w:hAnsi="仿宋" w:eastAsia="仿宋" w:cs="仿宋"/>
          <w:b/>
          <w:sz w:val="32"/>
        </w:rPr>
        <w:t>九、基本支出：</w:t>
      </w:r>
      <w:r>
        <w:rPr>
          <w:rFonts w:hint="eastAsia" w:ascii="仿宋" w:hAnsi="仿宋" w:eastAsia="仿宋" w:cs="仿宋"/>
          <w:sz w:val="32"/>
        </w:rPr>
        <w:t>指为保障机构正常运转、完成日常工作任务而发生的人员支出和公用支出。</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十、</w:t>
      </w:r>
      <w:r>
        <w:rPr>
          <w:rFonts w:hint="eastAsia" w:ascii="仿宋" w:hAnsi="仿宋" w:eastAsia="仿宋" w:cs="仿宋"/>
          <w:b/>
          <w:sz w:val="32"/>
        </w:rPr>
        <w:t>一般公共服务支出（类）：</w:t>
      </w:r>
      <w:r>
        <w:rPr>
          <w:rFonts w:hint="eastAsia" w:ascii="仿宋" w:hAnsi="仿宋" w:eastAsia="仿宋" w:cs="仿宋"/>
          <w:sz w:val="32"/>
        </w:rPr>
        <w:t>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公共服务方面的支出。</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十一、</w:t>
      </w:r>
      <w:r>
        <w:rPr>
          <w:rFonts w:hint="eastAsia" w:ascii="仿宋" w:hAnsi="仿宋" w:eastAsia="仿宋" w:cs="仿宋"/>
          <w:b/>
          <w:sz w:val="32"/>
        </w:rPr>
        <w:t>社会保障和就业支出（类）：</w:t>
      </w:r>
      <w:r>
        <w:rPr>
          <w:rFonts w:hint="eastAsia" w:ascii="仿宋" w:hAnsi="仿宋" w:eastAsia="仿宋" w:cs="仿宋"/>
          <w:sz w:val="32"/>
        </w:rPr>
        <w:t>是指用于社会保障和就业方面的支出，包括保障机构正常运转、完成日常和特定的工作任务或事业发展目标的支出。归口管理的行政单位离退休，指离退休人员管理机构统一管理的机关离退休人员的经费。</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十二、</w:t>
      </w:r>
      <w:r>
        <w:rPr>
          <w:rFonts w:hint="eastAsia" w:ascii="仿宋" w:hAnsi="仿宋" w:eastAsia="仿宋" w:cs="仿宋"/>
          <w:b/>
          <w:sz w:val="32"/>
        </w:rPr>
        <w:t>农林水支出（类）：</w:t>
      </w:r>
      <w:r>
        <w:rPr>
          <w:rFonts w:hint="eastAsia" w:ascii="仿宋" w:hAnsi="仿宋" w:eastAsia="仿宋" w:cs="仿宋"/>
          <w:sz w:val="32"/>
        </w:rPr>
        <w:t>是指用于农林水事务支出，包括保障机构正常运转、完成日常和特定的工作任务或事业发展目标的支出。</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十三、住房保障支出（类）：</w:t>
      </w:r>
      <w:r>
        <w:rPr>
          <w:rFonts w:hint="eastAsia" w:ascii="仿宋" w:hAnsi="仿宋" w:eastAsia="仿宋" w:cs="仿宋"/>
          <w:sz w:val="32"/>
        </w:rPr>
        <w:t>是指用于住房方面的支出，包括保障机构正常运转、完成日常和特定的工作任务或事业发展目标的支出。</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十四、工资福利支出：</w:t>
      </w:r>
      <w:r>
        <w:rPr>
          <w:rFonts w:hint="eastAsia" w:ascii="仿宋" w:hAnsi="仿宋" w:eastAsia="仿宋" w:cs="仿宋"/>
          <w:sz w:val="32"/>
        </w:rPr>
        <w:t>反映单位开支的在职职工和编制外长期聘用人员的各类劳动报酬，以及为上述人员缴纳的各项社会保险费等。</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十五、</w:t>
      </w:r>
      <w:r>
        <w:rPr>
          <w:rFonts w:hint="eastAsia" w:ascii="宋体" w:hAnsi="宋体" w:cs="黑体"/>
          <w:color w:val="000000"/>
          <w:kern w:val="0"/>
          <w:sz w:val="32"/>
          <w:szCs w:val="32"/>
        </w:rPr>
        <w:t>基本工资：</w:t>
      </w:r>
      <w:r>
        <w:rPr>
          <w:rFonts w:hint="eastAsia" w:ascii="仿宋" w:hAnsi="仿宋" w:eastAsia="仿宋" w:cs="仿宋"/>
          <w:sz w:val="32"/>
        </w:rPr>
        <w:t>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十六、</w:t>
      </w:r>
      <w:r>
        <w:rPr>
          <w:rFonts w:hint="eastAsia" w:ascii="宋体" w:hAnsi="宋体" w:cs="黑体"/>
          <w:color w:val="000000"/>
          <w:kern w:val="0"/>
          <w:sz w:val="32"/>
          <w:szCs w:val="32"/>
        </w:rPr>
        <w:t>津贴补贴：</w:t>
      </w:r>
      <w:r>
        <w:rPr>
          <w:rFonts w:hint="eastAsia" w:ascii="仿宋" w:hAnsi="仿宋" w:eastAsia="仿宋" w:cs="仿宋"/>
          <w:sz w:val="32"/>
        </w:rPr>
        <w:t>反映经国家批准建立的机关事业单位艰苦边远地区津贴、机关工作人员地区附加津贴、机关工作人员岗位津贴、事业单位工作人员特殊岗位津贴补贴等。</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十七、</w:t>
      </w:r>
      <w:r>
        <w:rPr>
          <w:rFonts w:hint="eastAsia" w:ascii="宋体" w:hAnsi="宋体" w:cs="黑体"/>
          <w:color w:val="000000"/>
          <w:kern w:val="0"/>
          <w:sz w:val="32"/>
          <w:szCs w:val="32"/>
        </w:rPr>
        <w:t>绩效工资：</w:t>
      </w:r>
      <w:r>
        <w:rPr>
          <w:rFonts w:hint="eastAsia" w:ascii="仿宋" w:hAnsi="仿宋" w:eastAsia="仿宋" w:cs="仿宋"/>
          <w:sz w:val="32"/>
        </w:rPr>
        <w:t>反映事业单位工作人员的绩效工资。</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十八、</w:t>
      </w:r>
      <w:r>
        <w:rPr>
          <w:rFonts w:hint="eastAsia" w:ascii="宋体" w:hAnsi="宋体" w:cs="黑体"/>
          <w:color w:val="000000"/>
          <w:kern w:val="0"/>
          <w:sz w:val="32"/>
          <w:szCs w:val="32"/>
        </w:rPr>
        <w:t>机关事业单位基本养老保险缴费：</w:t>
      </w:r>
      <w:r>
        <w:rPr>
          <w:rFonts w:hint="eastAsia" w:ascii="仿宋" w:hAnsi="仿宋" w:eastAsia="仿宋" w:cs="仿宋"/>
          <w:sz w:val="32"/>
        </w:rPr>
        <w:t>反映机关事业单位缴纳的基本养老保险费。由单位代扣的工作人员基本养老保险缴费，不在此科目反映。</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十九、</w:t>
      </w:r>
      <w:r>
        <w:rPr>
          <w:rFonts w:hint="eastAsia" w:ascii="宋体" w:hAnsi="宋体" w:cs="黑体"/>
          <w:color w:val="000000"/>
          <w:kern w:val="0"/>
          <w:sz w:val="32"/>
          <w:szCs w:val="32"/>
        </w:rPr>
        <w:t>职工基本医疗保险缴费：</w:t>
      </w:r>
      <w:r>
        <w:rPr>
          <w:rFonts w:hint="eastAsia" w:ascii="仿宋" w:hAnsi="仿宋" w:eastAsia="仿宋" w:cs="仿宋"/>
          <w:sz w:val="32"/>
        </w:rPr>
        <w:t>反映单位为职工缴纳的基本医疗保险费。</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二十、</w:t>
      </w:r>
      <w:r>
        <w:rPr>
          <w:rFonts w:hint="eastAsia" w:ascii="宋体" w:hAnsi="宋体" w:cs="黑体"/>
          <w:color w:val="000000"/>
          <w:kern w:val="0"/>
          <w:sz w:val="32"/>
          <w:szCs w:val="32"/>
        </w:rPr>
        <w:t>其他社会保障缴费：</w:t>
      </w:r>
      <w:r>
        <w:rPr>
          <w:rFonts w:hint="eastAsia" w:ascii="仿宋" w:hAnsi="仿宋" w:eastAsia="仿宋" w:cs="仿宋"/>
          <w:sz w:val="32"/>
        </w:rPr>
        <w:t>反映单位为职工缴纳的基本医疗、失业、工伤、生育等社会保险费，残疾人就业保障金，军队（含武警）为军人缴纳的伤亡、退役医疗等社会保险费。</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二十一、</w:t>
      </w:r>
      <w:r>
        <w:rPr>
          <w:rFonts w:hint="eastAsia" w:ascii="宋体" w:hAnsi="宋体" w:cs="黑体"/>
          <w:color w:val="000000"/>
          <w:kern w:val="0"/>
          <w:sz w:val="32"/>
          <w:szCs w:val="32"/>
        </w:rPr>
        <w:t>住房公积金：</w:t>
      </w:r>
      <w:r>
        <w:rPr>
          <w:rFonts w:hint="eastAsia" w:ascii="仿宋" w:hAnsi="仿宋" w:eastAsia="仿宋" w:cs="仿宋"/>
          <w:sz w:val="32"/>
        </w:rPr>
        <w:t>反映行政事业单位按人力资源和社会保障部、财政部规定的基本工资和津贴补贴以及规定比例为职工缴纳的住房公积金。</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二十二、</w:t>
      </w:r>
      <w:r>
        <w:rPr>
          <w:rFonts w:hint="eastAsia" w:ascii="宋体" w:hAnsi="宋体" w:cs="黑体"/>
          <w:color w:val="000000"/>
          <w:kern w:val="0"/>
          <w:sz w:val="32"/>
          <w:szCs w:val="32"/>
        </w:rPr>
        <w:t>商品和服务支出：</w:t>
      </w:r>
      <w:r>
        <w:rPr>
          <w:rFonts w:hint="eastAsia" w:ascii="仿宋" w:hAnsi="仿宋" w:eastAsia="仿宋" w:cs="仿宋"/>
          <w:sz w:val="32"/>
        </w:rPr>
        <w:t>反映单位购买商品和服务的支出（不包括用于购置固定资产的支出、战略性和应急储备支出）。</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二十三、</w:t>
      </w:r>
      <w:r>
        <w:rPr>
          <w:rFonts w:hint="eastAsia" w:ascii="宋体" w:hAnsi="宋体" w:cs="黑体"/>
          <w:color w:val="000000"/>
          <w:kern w:val="0"/>
          <w:sz w:val="32"/>
          <w:szCs w:val="32"/>
        </w:rPr>
        <w:t>办公费：</w:t>
      </w:r>
      <w:r>
        <w:rPr>
          <w:rFonts w:hint="eastAsia" w:ascii="仿宋" w:hAnsi="仿宋" w:eastAsia="仿宋" w:cs="仿宋"/>
          <w:sz w:val="32"/>
        </w:rPr>
        <w:t>反映单位购买按财务会计制度规定不符合固定资产确认标准的日常办公用品、书报杂志等支出。</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二十四、</w:t>
      </w:r>
      <w:r>
        <w:rPr>
          <w:rFonts w:hint="eastAsia" w:ascii="宋体" w:hAnsi="宋体" w:cs="黑体"/>
          <w:color w:val="000000"/>
          <w:kern w:val="0"/>
          <w:sz w:val="32"/>
          <w:szCs w:val="32"/>
        </w:rPr>
        <w:t>水费：</w:t>
      </w:r>
      <w:r>
        <w:rPr>
          <w:rFonts w:hint="eastAsia" w:ascii="仿宋" w:hAnsi="仿宋" w:eastAsia="仿宋" w:cs="仿宋"/>
          <w:sz w:val="32"/>
        </w:rPr>
        <w:t>反映单位支付的水费、污水处理费等支出。</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二十五、</w:t>
      </w:r>
      <w:r>
        <w:rPr>
          <w:rFonts w:hint="eastAsia" w:ascii="宋体" w:hAnsi="宋体" w:cs="黑体"/>
          <w:color w:val="000000"/>
          <w:kern w:val="0"/>
          <w:sz w:val="32"/>
          <w:szCs w:val="32"/>
        </w:rPr>
        <w:t>电费：</w:t>
      </w:r>
      <w:r>
        <w:rPr>
          <w:rFonts w:hint="eastAsia" w:ascii="仿宋" w:hAnsi="仿宋" w:eastAsia="仿宋" w:cs="仿宋"/>
          <w:sz w:val="32"/>
        </w:rPr>
        <w:t>反映单位的电费支出</w:t>
      </w:r>
      <w:r>
        <w:rPr>
          <w:rFonts w:hint="eastAsia" w:ascii="宋体" w:hAnsi="宋体" w:cs="黑体"/>
          <w:color w:val="000000"/>
          <w:kern w:val="0"/>
          <w:sz w:val="32"/>
          <w:szCs w:val="32"/>
        </w:rPr>
        <w:t>。</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二十六、</w:t>
      </w:r>
      <w:r>
        <w:rPr>
          <w:rFonts w:hint="eastAsia" w:ascii="宋体" w:hAnsi="宋体" w:cs="黑体"/>
          <w:color w:val="000000"/>
          <w:kern w:val="0"/>
          <w:sz w:val="32"/>
          <w:szCs w:val="32"/>
        </w:rPr>
        <w:t>邮电费：</w:t>
      </w:r>
      <w:r>
        <w:rPr>
          <w:rFonts w:hint="eastAsia" w:ascii="仿宋" w:hAnsi="仿宋" w:eastAsia="仿宋" w:cs="仿宋"/>
          <w:sz w:val="32"/>
        </w:rPr>
        <w:t>反映单位开支的信函、包裹、货物等物品的邮寄费及电话费、电报费、传真费、网络通讯费等。</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二十七、</w:t>
      </w:r>
      <w:r>
        <w:rPr>
          <w:rFonts w:hint="eastAsia" w:ascii="宋体" w:hAnsi="宋体" w:cs="黑体"/>
          <w:color w:val="000000"/>
          <w:kern w:val="0"/>
          <w:sz w:val="32"/>
          <w:szCs w:val="32"/>
        </w:rPr>
        <w:t>差旅费：</w:t>
      </w:r>
      <w:r>
        <w:rPr>
          <w:rFonts w:hint="eastAsia" w:ascii="仿宋" w:hAnsi="仿宋" w:eastAsia="仿宋" w:cs="仿宋"/>
          <w:sz w:val="32"/>
        </w:rPr>
        <w:t>反映单位工作人员出差发生的城市间交通费、住宿费、伙食补贴费和市内交通费。</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二十八、</w:t>
      </w:r>
      <w:r>
        <w:rPr>
          <w:rFonts w:hint="eastAsia" w:ascii="宋体" w:hAnsi="宋体" w:cs="黑体"/>
          <w:color w:val="000000"/>
          <w:kern w:val="0"/>
          <w:sz w:val="32"/>
          <w:szCs w:val="32"/>
        </w:rPr>
        <w:t>维修(护)费：</w:t>
      </w:r>
      <w:r>
        <w:rPr>
          <w:rFonts w:hint="eastAsia" w:ascii="仿宋" w:hAnsi="仿宋" w:eastAsia="仿宋" w:cs="仿宋"/>
          <w:sz w:val="32"/>
        </w:rPr>
        <w:t>反映单位日常开支的固定资产（不包括车船等交通工具）修理和维护费用，网络信息系统运行与维护费用，以及按规定提取的修购基金。</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二十九、</w:t>
      </w:r>
      <w:r>
        <w:rPr>
          <w:rFonts w:hint="eastAsia" w:ascii="宋体" w:hAnsi="宋体" w:cs="黑体"/>
          <w:color w:val="000000"/>
          <w:kern w:val="0"/>
          <w:sz w:val="32"/>
          <w:szCs w:val="32"/>
        </w:rPr>
        <w:t>公务接待费：</w:t>
      </w:r>
      <w:r>
        <w:rPr>
          <w:rFonts w:hint="eastAsia" w:ascii="仿宋" w:hAnsi="仿宋" w:eastAsia="仿宋" w:cs="仿宋"/>
          <w:sz w:val="32"/>
        </w:rPr>
        <w:t>反映单位按规定开支的各类公务接待（含外宾接待）费用。</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三十、</w:t>
      </w:r>
      <w:r>
        <w:rPr>
          <w:rFonts w:hint="eastAsia" w:ascii="宋体" w:hAnsi="宋体" w:cs="黑体"/>
          <w:color w:val="000000"/>
          <w:kern w:val="0"/>
          <w:sz w:val="32"/>
          <w:szCs w:val="32"/>
        </w:rPr>
        <w:t>工会经费：</w:t>
      </w:r>
      <w:r>
        <w:rPr>
          <w:rFonts w:hint="eastAsia" w:ascii="仿宋" w:hAnsi="仿宋" w:eastAsia="仿宋" w:cs="仿宋"/>
          <w:sz w:val="32"/>
        </w:rPr>
        <w:t>反映单位按规定提取的工会经费。</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三十一、</w:t>
      </w:r>
      <w:r>
        <w:rPr>
          <w:rFonts w:hint="eastAsia" w:ascii="宋体" w:hAnsi="宋体" w:cs="黑体"/>
          <w:color w:val="000000"/>
          <w:kern w:val="0"/>
          <w:sz w:val="32"/>
          <w:szCs w:val="32"/>
        </w:rPr>
        <w:t>其他交通费用：</w:t>
      </w:r>
      <w:r>
        <w:rPr>
          <w:rFonts w:hint="eastAsia" w:ascii="仿宋" w:hAnsi="仿宋" w:eastAsia="仿宋" w:cs="仿宋"/>
          <w:sz w:val="32"/>
        </w:rPr>
        <w:t>反映单位除公务用车运行维护费以外的其他交通费用。如公务交通补贴，租车费用、出租车费用，飞机、船舶等的燃料费、维修费、保险费等。</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三十二、</w:t>
      </w:r>
      <w:r>
        <w:rPr>
          <w:rFonts w:hint="eastAsia" w:ascii="宋体" w:hAnsi="宋体" w:cs="黑体"/>
          <w:color w:val="000000"/>
          <w:kern w:val="0"/>
          <w:sz w:val="32"/>
          <w:szCs w:val="32"/>
        </w:rPr>
        <w:t>对个人和家庭的补助：</w:t>
      </w:r>
      <w:r>
        <w:rPr>
          <w:rFonts w:hint="eastAsia" w:ascii="仿宋" w:hAnsi="仿宋" w:eastAsia="仿宋" w:cs="仿宋"/>
          <w:sz w:val="32"/>
        </w:rPr>
        <w:t>反映政府用于对个人和家庭的补助支出。</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三十三、</w:t>
      </w:r>
      <w:r>
        <w:rPr>
          <w:rFonts w:hint="eastAsia" w:ascii="宋体" w:hAnsi="宋体" w:cs="黑体"/>
          <w:color w:val="000000"/>
          <w:kern w:val="0"/>
          <w:sz w:val="32"/>
          <w:szCs w:val="32"/>
        </w:rPr>
        <w:t>退休费：</w:t>
      </w:r>
      <w:r>
        <w:rPr>
          <w:rFonts w:hint="eastAsia" w:ascii="仿宋" w:hAnsi="仿宋" w:eastAsia="仿宋" w:cs="仿宋"/>
          <w:sz w:val="32"/>
        </w:rPr>
        <w:t>反映行政事业单位和军队移交政府安置的退休人员的退休费和其他补贴。</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三十四、</w:t>
      </w:r>
      <w:r>
        <w:rPr>
          <w:rFonts w:hint="eastAsia" w:ascii="宋体" w:hAnsi="宋体" w:cs="黑体"/>
          <w:color w:val="000000"/>
          <w:kern w:val="0"/>
          <w:sz w:val="32"/>
          <w:szCs w:val="32"/>
        </w:rPr>
        <w:t>生活补助：</w:t>
      </w:r>
      <w:r>
        <w:rPr>
          <w:rFonts w:hint="eastAsia" w:ascii="仿宋" w:hAnsi="仿宋" w:eastAsia="仿宋" w:cs="仿宋"/>
          <w:sz w:val="32"/>
        </w:rPr>
        <w:t>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三十五、</w:t>
      </w:r>
      <w:r>
        <w:rPr>
          <w:rFonts w:hint="eastAsia" w:ascii="宋体" w:hAnsi="宋体" w:cs="黑体"/>
          <w:color w:val="000000"/>
          <w:kern w:val="0"/>
          <w:sz w:val="32"/>
          <w:szCs w:val="32"/>
        </w:rPr>
        <w:t>奖励金：</w:t>
      </w:r>
      <w:r>
        <w:rPr>
          <w:rFonts w:hint="eastAsia" w:ascii="仿宋" w:hAnsi="仿宋" w:eastAsia="仿宋" w:cs="仿宋"/>
          <w:sz w:val="32"/>
        </w:rPr>
        <w:t>反映政府各部门的奖励支出，如对个体私营经济的奖励、计划生育目标责任奖励、独生子女父母奖励等</w:t>
      </w:r>
      <w:r>
        <w:rPr>
          <w:rFonts w:hint="eastAsia" w:ascii="宋体" w:hAnsi="宋体" w:cs="黑体"/>
          <w:color w:val="000000"/>
          <w:kern w:val="0"/>
          <w:sz w:val="32"/>
          <w:szCs w:val="32"/>
        </w:rPr>
        <w:t>。</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三十六、</w:t>
      </w:r>
      <w:r>
        <w:rPr>
          <w:rFonts w:hint="eastAsia" w:ascii="宋体" w:hAnsi="宋体" w:cs="黑体"/>
          <w:color w:val="000000"/>
          <w:kern w:val="0"/>
          <w:sz w:val="32"/>
          <w:szCs w:val="32"/>
        </w:rPr>
        <w:t>其他资本性支出：</w:t>
      </w:r>
      <w:r>
        <w:rPr>
          <w:rFonts w:hint="eastAsia" w:ascii="仿宋" w:hAnsi="仿宋" w:eastAsia="仿宋" w:cs="仿宋"/>
          <w:sz w:val="32"/>
        </w:rPr>
        <w:t>反映发展与改革部门以外的其他部门安排的用于购置固定资产、战略性和应急性储备、土地和无形资产，以及购建基础设施、大型修缮和财政支持企业更新改造所发生的支出。</w:t>
      </w:r>
    </w:p>
    <w:p>
      <w:pPr>
        <w:ind w:firstLine="640" w:firstLineChars="200"/>
        <w:rPr>
          <w:rFonts w:hint="eastAsia" w:ascii="仿宋" w:hAnsi="仿宋" w:eastAsia="仿宋" w:cs="仿宋"/>
          <w:sz w:val="32"/>
        </w:rPr>
      </w:pPr>
      <w:r>
        <w:rPr>
          <w:rFonts w:hint="eastAsia" w:ascii="宋体" w:hAnsi="宋体" w:cs="黑体"/>
          <w:color w:val="000000"/>
          <w:kern w:val="0"/>
          <w:sz w:val="32"/>
          <w:szCs w:val="32"/>
          <w:lang w:val="en-US" w:eastAsia="zh-CN"/>
        </w:rPr>
        <w:t>三十七、</w:t>
      </w:r>
      <w:r>
        <w:rPr>
          <w:rFonts w:hint="eastAsia" w:ascii="宋体" w:hAnsi="宋体" w:cs="黑体"/>
          <w:color w:val="000000"/>
          <w:kern w:val="0"/>
          <w:sz w:val="32"/>
          <w:szCs w:val="32"/>
        </w:rPr>
        <w:t>办公设备购置：</w:t>
      </w:r>
      <w:r>
        <w:rPr>
          <w:rFonts w:hint="eastAsia" w:ascii="仿宋" w:hAnsi="仿宋" w:eastAsia="仿宋" w:cs="仿宋"/>
          <w:sz w:val="32"/>
        </w:rPr>
        <w:t>反映用于购置并按财务会计制度规定纳入固定资产核算范围的办公家具和办公设备的支出，以及按规定提取的修购基金。</w:t>
      </w:r>
    </w:p>
    <w:p>
      <w:pPr>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lang w:val="en-US" w:eastAsia="zh-CN"/>
        </w:rPr>
        <w:t xml:space="preserve">   </w:t>
      </w:r>
      <w:r>
        <w:rPr>
          <w:rFonts w:hint="eastAsia" w:ascii="仿宋" w:hAnsi="仿宋" w:eastAsia="仿宋" w:cs="仿宋"/>
          <w:b/>
          <w:sz w:val="32"/>
          <w:lang w:val="en-US" w:eastAsia="zh-CN"/>
        </w:rPr>
        <w:t>三十八</w:t>
      </w:r>
      <w:r>
        <w:rPr>
          <w:rFonts w:hint="eastAsia" w:ascii="仿宋" w:hAnsi="仿宋" w:eastAsia="仿宋" w:cs="仿宋"/>
          <w:b/>
          <w:sz w:val="32"/>
        </w:rPr>
        <w:t>、项目支出：</w:t>
      </w:r>
      <w:r>
        <w:rPr>
          <w:rFonts w:hint="eastAsia" w:ascii="仿宋" w:hAnsi="仿宋" w:eastAsia="仿宋" w:cs="仿宋"/>
          <w:sz w:val="32"/>
        </w:rPr>
        <w:t>指在基本支出之外为完成特定行政任务和事业发展目标所发生的支出。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lang w:val="en-US" w:eastAsia="zh-CN"/>
        </w:rPr>
        <w:t>三十九</w:t>
      </w:r>
      <w:r>
        <w:rPr>
          <w:rFonts w:hint="eastAsia" w:ascii="仿宋" w:hAnsi="仿宋" w:eastAsia="仿宋" w:cs="仿宋"/>
          <w:b/>
          <w:sz w:val="32"/>
        </w:rPr>
        <w:t>、经营支出：</w:t>
      </w:r>
      <w:r>
        <w:rPr>
          <w:rFonts w:hint="eastAsia" w:ascii="仿宋" w:hAnsi="仿宋" w:eastAsia="仿宋" w:cs="仿宋"/>
          <w:sz w:val="32"/>
        </w:rPr>
        <w:t>指事业单位在专业业务活动及其辅助活动之外开展非独立核算经营活动发生的支出。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lang w:val="en-US" w:eastAsia="zh-CN"/>
        </w:rPr>
        <w:t>四十</w:t>
      </w:r>
      <w:r>
        <w:rPr>
          <w:rFonts w:hint="eastAsia" w:ascii="仿宋" w:hAnsi="仿宋" w:eastAsia="仿宋" w:cs="仿宋"/>
          <w:b/>
          <w:sz w:val="32"/>
        </w:rPr>
        <w:t>、“三公”经费：</w:t>
      </w:r>
      <w:r>
        <w:rPr>
          <w:rFonts w:hint="eastAsia"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lang w:val="en-US" w:eastAsia="zh-CN"/>
        </w:rPr>
        <w:t>四十一</w:t>
      </w:r>
      <w:r>
        <w:rPr>
          <w:rFonts w:hint="eastAsia" w:ascii="仿宋" w:hAnsi="仿宋" w:eastAsia="仿宋" w:cs="仿宋"/>
          <w:b/>
          <w:sz w:val="32"/>
        </w:rPr>
        <w:t>、机关运行经费：</w:t>
      </w:r>
      <w:r>
        <w:rPr>
          <w:rFonts w:hint="eastAsia"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3"/>
        <w:jc w:val="center"/>
        <w:rPr>
          <w:rFonts w:ascii="宋体" w:eastAsia="宋体"/>
          <w:sz w:val="32"/>
          <w:szCs w:val="32"/>
        </w:rPr>
      </w:pPr>
      <w:r>
        <w:rPr>
          <w:rFonts w:hint="eastAsia" w:ascii="宋体" w:eastAsia="宋体"/>
          <w:sz w:val="32"/>
          <w:szCs w:val="32"/>
        </w:rPr>
        <w:t>………</w:t>
      </w:r>
    </w:p>
    <w:p>
      <w:pPr>
        <w:widowControl/>
        <w:jc w:val="left"/>
        <w:rPr>
          <w:rFonts w:ascii="宋体" w:hAnsi="宋体" w:eastAsia="黑体" w:cs="黑体"/>
          <w:color w:val="000000"/>
          <w:kern w:val="0"/>
          <w:sz w:val="28"/>
          <w:szCs w:val="32"/>
        </w:rPr>
      </w:pPr>
      <w:r>
        <w:rPr>
          <w:rFonts w:hint="eastAsia" w:ascii="宋体" w:hAnsi="宋体"/>
          <w:sz w:val="28"/>
          <w:szCs w:val="32"/>
        </w:rPr>
        <w:t>（名词解释应包含本部门专有名词，如省财政厅应有对“财政事务”科目的解释）</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2450" w:firstLineChars="350"/>
        <w:jc w:val="left"/>
        <w:rPr>
          <w:rFonts w:ascii="黑体" w:eastAsia="黑体" w:cs="黑体"/>
          <w:color w:val="000000"/>
          <w:kern w:val="0"/>
          <w:sz w:val="70"/>
          <w:szCs w:val="70"/>
        </w:rPr>
      </w:pPr>
      <w:r>
        <w:rPr>
          <w:rFonts w:ascii="黑体" w:eastAsia="黑体" w:cs="黑体"/>
          <w:color w:val="000000"/>
          <w:kern w:val="0"/>
          <w:sz w:val="70"/>
          <w:szCs w:val="70"/>
        </w:rPr>
        <w:br w:type="page"/>
      </w:r>
      <w:r>
        <w:rPr>
          <w:rFonts w:ascii="宋体" w:hAnsi="宋体" w:cs="方正小标宋简体"/>
          <w:b/>
          <w:color w:val="000000"/>
          <w:kern w:val="0"/>
          <w:sz w:val="40"/>
          <w:szCs w:val="40"/>
          <w:shd w:val="clear" w:color="auto" w:fill="FFFFFF"/>
        </w:rPr>
        <w:t>2021</w:t>
      </w:r>
      <w:r>
        <w:rPr>
          <w:rFonts w:hint="eastAsia" w:ascii="宋体" w:hAnsi="宋体" w:cs="方正小标宋简体"/>
          <w:b/>
          <w:color w:val="000000"/>
          <w:kern w:val="0"/>
          <w:sz w:val="40"/>
          <w:szCs w:val="40"/>
          <w:shd w:val="clear" w:color="auto" w:fill="FFFFFF"/>
        </w:rPr>
        <w:t>年度整体支出绩效评价报告</w:t>
      </w:r>
    </w:p>
    <w:p>
      <w:pPr>
        <w:pStyle w:val="2"/>
        <w:spacing w:line="560" w:lineRule="exact"/>
        <w:ind w:firstLine="640" w:firstLineChars="200"/>
        <w:rPr>
          <w:rFonts w:ascii="仿宋" w:hAnsi="仿宋" w:eastAsia="仿宋" w:cs="仿宋"/>
          <w:bCs w:val="0"/>
          <w:color w:val="000000"/>
          <w:kern w:val="0"/>
          <w:sz w:val="32"/>
          <w:szCs w:val="32"/>
        </w:rPr>
      </w:pPr>
      <w:r>
        <w:rPr>
          <w:rFonts w:hint="eastAsia" w:ascii="仿宋" w:hAnsi="仿宋" w:eastAsia="仿宋" w:cs="仿宋"/>
          <w:bCs w:val="0"/>
          <w:color w:val="000000"/>
          <w:kern w:val="0"/>
          <w:sz w:val="32"/>
          <w:szCs w:val="32"/>
        </w:rPr>
        <w:t>根据《中共中央国务院关于全面实施预算绩效管理的意见》和《湖南省财政厅关于开展</w:t>
      </w:r>
      <w:r>
        <w:rPr>
          <w:rFonts w:ascii="仿宋" w:hAnsi="仿宋" w:eastAsia="仿宋" w:cs="仿宋"/>
          <w:bCs w:val="0"/>
          <w:color w:val="000000"/>
          <w:kern w:val="0"/>
          <w:sz w:val="32"/>
          <w:szCs w:val="32"/>
        </w:rPr>
        <w:t>2021</w:t>
      </w:r>
      <w:r>
        <w:rPr>
          <w:rFonts w:hint="eastAsia" w:ascii="仿宋" w:hAnsi="仿宋" w:eastAsia="仿宋" w:cs="仿宋"/>
          <w:bCs w:val="0"/>
          <w:color w:val="000000"/>
          <w:kern w:val="0"/>
          <w:sz w:val="32"/>
          <w:szCs w:val="32"/>
        </w:rPr>
        <w:t>年度部门整体支出绩效自评工作的通知》（湘财绩〔</w:t>
      </w:r>
      <w:r>
        <w:rPr>
          <w:rFonts w:ascii="仿宋" w:hAnsi="仿宋" w:eastAsia="仿宋" w:cs="仿宋"/>
          <w:bCs w:val="0"/>
          <w:color w:val="000000"/>
          <w:kern w:val="0"/>
          <w:sz w:val="32"/>
          <w:szCs w:val="32"/>
        </w:rPr>
        <w:t>2020</w:t>
      </w:r>
      <w:r>
        <w:rPr>
          <w:rFonts w:hint="eastAsia" w:ascii="仿宋" w:hAnsi="仿宋" w:eastAsia="仿宋" w:cs="仿宋"/>
          <w:bCs w:val="0"/>
          <w:color w:val="000000"/>
          <w:kern w:val="0"/>
          <w:sz w:val="32"/>
          <w:szCs w:val="32"/>
        </w:rPr>
        <w:t>〕</w:t>
      </w:r>
      <w:r>
        <w:rPr>
          <w:rFonts w:ascii="仿宋" w:hAnsi="仿宋" w:eastAsia="仿宋" w:cs="仿宋"/>
          <w:bCs w:val="0"/>
          <w:color w:val="000000"/>
          <w:kern w:val="0"/>
          <w:sz w:val="32"/>
          <w:szCs w:val="32"/>
        </w:rPr>
        <w:t>7</w:t>
      </w:r>
      <w:r>
        <w:rPr>
          <w:rFonts w:hint="eastAsia" w:ascii="仿宋" w:hAnsi="仿宋" w:eastAsia="仿宋" w:cs="仿宋"/>
          <w:bCs w:val="0"/>
          <w:color w:val="000000"/>
          <w:kern w:val="0"/>
          <w:sz w:val="32"/>
          <w:szCs w:val="32"/>
        </w:rPr>
        <w:t>号）的文件精神，我局积极组织计财股、项目办和项目实施单位，对</w:t>
      </w:r>
      <w:r>
        <w:rPr>
          <w:rFonts w:ascii="仿宋" w:hAnsi="仿宋" w:eastAsia="仿宋" w:cs="仿宋"/>
          <w:bCs w:val="0"/>
          <w:color w:val="000000"/>
          <w:kern w:val="0"/>
          <w:sz w:val="32"/>
          <w:szCs w:val="32"/>
        </w:rPr>
        <w:t>2021</w:t>
      </w:r>
      <w:r>
        <w:rPr>
          <w:rFonts w:hint="eastAsia" w:ascii="仿宋" w:hAnsi="仿宋" w:eastAsia="仿宋" w:cs="仿宋"/>
          <w:bCs w:val="0"/>
          <w:color w:val="000000"/>
          <w:kern w:val="0"/>
          <w:sz w:val="32"/>
          <w:szCs w:val="32"/>
        </w:rPr>
        <w:t>年度部门预算绩效开展了自评，现将具体情况汇报如下：</w:t>
      </w:r>
      <w:r>
        <w:rPr>
          <w:rFonts w:ascii="仿宋" w:hAnsi="仿宋" w:eastAsia="仿宋" w:cs="仿宋"/>
          <w:bCs w:val="0"/>
          <w:color w:val="000000"/>
          <w:kern w:val="0"/>
          <w:sz w:val="32"/>
          <w:szCs w:val="32"/>
        </w:rPr>
        <w:t xml:space="preserve"> </w:t>
      </w:r>
    </w:p>
    <w:p>
      <w:pPr>
        <w:widowControl/>
        <w:shd w:val="clear" w:color="auto" w:fill="FFFFFF"/>
        <w:contextualSpacing/>
        <w:jc w:val="left"/>
        <w:rPr>
          <w:rFonts w:ascii="黑体" w:hAnsi="黑体" w:eastAsia="黑体" w:cs="方正黑体简体"/>
          <w:color w:val="000000"/>
          <w:kern w:val="0"/>
          <w:sz w:val="32"/>
          <w:szCs w:val="32"/>
        </w:rPr>
      </w:pPr>
      <w:r>
        <w:rPr>
          <w:rFonts w:hint="eastAsia" w:ascii="黑体" w:hAnsi="黑体" w:eastAsia="黑体" w:cs="方正黑体简体"/>
          <w:b/>
          <w:bCs/>
          <w:color w:val="000000"/>
          <w:kern w:val="0"/>
          <w:sz w:val="32"/>
          <w:szCs w:val="32"/>
          <w:shd w:val="clear" w:color="auto" w:fill="FFFFFF"/>
        </w:rPr>
        <w:t>一、部门基本情况</w:t>
      </w:r>
    </w:p>
    <w:p>
      <w:pPr>
        <w:autoSpaceDE w:val="0"/>
        <w:autoSpaceDN w:val="0"/>
        <w:adjustRightInd w:val="0"/>
        <w:spacing w:line="520" w:lineRule="exact"/>
        <w:ind w:firstLine="643"/>
        <w:rPr>
          <w:rFonts w:ascii="楷体" w:hAnsi="楷体" w:eastAsia="楷体" w:cs="仿宋_GB2312"/>
          <w:b/>
          <w:bCs/>
          <w:sz w:val="32"/>
          <w:szCs w:val="32"/>
        </w:rPr>
      </w:pPr>
      <w:r>
        <w:rPr>
          <w:rFonts w:ascii="楷体" w:hAnsi="楷体" w:eastAsia="楷体" w:cs="仿宋_GB2312"/>
          <w:b/>
          <w:bCs/>
          <w:sz w:val="32"/>
          <w:szCs w:val="32"/>
        </w:rPr>
        <w:t>(</w:t>
      </w:r>
      <w:r>
        <w:rPr>
          <w:rFonts w:hint="eastAsia" w:ascii="楷体" w:hAnsi="楷体" w:eastAsia="楷体" w:cs="仿宋_GB2312"/>
          <w:b/>
          <w:bCs/>
          <w:sz w:val="32"/>
          <w:szCs w:val="32"/>
        </w:rPr>
        <w:t>一</w:t>
      </w:r>
      <w:r>
        <w:rPr>
          <w:rFonts w:ascii="楷体" w:hAnsi="楷体" w:eastAsia="楷体" w:cs="仿宋_GB2312"/>
          <w:b/>
          <w:bCs/>
          <w:sz w:val="32"/>
          <w:szCs w:val="32"/>
        </w:rPr>
        <w:t>)</w:t>
      </w:r>
      <w:r>
        <w:rPr>
          <w:rFonts w:hint="eastAsia" w:ascii="楷体" w:hAnsi="楷体" w:eastAsia="楷体" w:cs="仿宋_GB2312"/>
          <w:b/>
          <w:bCs/>
          <w:sz w:val="32"/>
          <w:szCs w:val="32"/>
        </w:rPr>
        <w:t>机构设置</w:t>
      </w:r>
    </w:p>
    <w:p>
      <w:pPr>
        <w:widowControl/>
        <w:spacing w:line="600" w:lineRule="exact"/>
        <w:ind w:firstLine="627" w:firstLineChars="196"/>
        <w:jc w:val="left"/>
        <w:rPr>
          <w:rFonts w:eastAsia="仿宋_GB2312"/>
          <w:sz w:val="32"/>
          <w:szCs w:val="32"/>
        </w:rPr>
      </w:pPr>
      <w:r>
        <w:rPr>
          <w:rFonts w:hint="eastAsia" w:ascii="仿宋" w:hAnsi="仿宋" w:eastAsia="仿宋" w:cs="仿宋"/>
          <w:color w:val="000000"/>
          <w:kern w:val="0"/>
          <w:sz w:val="32"/>
          <w:szCs w:val="32"/>
        </w:rPr>
        <w:t>市农业农村局为市人民政府工作部门。根据编委核定，</w:t>
      </w:r>
      <w:r>
        <w:rPr>
          <w:rFonts w:hint="eastAsia" w:ascii="仿宋" w:hAnsi="仿宋" w:eastAsia="仿宋" w:cs="宋体"/>
          <w:color w:val="000000"/>
          <w:kern w:val="0"/>
          <w:sz w:val="32"/>
          <w:szCs w:val="32"/>
        </w:rPr>
        <w:t>我局</w:t>
      </w:r>
      <w:r>
        <w:rPr>
          <w:rFonts w:hint="eastAsia" w:ascii="仿宋" w:hAnsi="仿宋" w:eastAsia="仿宋" w:cs="仿宋"/>
          <w:color w:val="000000"/>
          <w:kern w:val="0"/>
          <w:sz w:val="32"/>
          <w:szCs w:val="32"/>
        </w:rPr>
        <w:t>我局内设股室</w:t>
      </w:r>
      <w:r>
        <w:rPr>
          <w:rFonts w:ascii="仿宋" w:hAnsi="仿宋" w:eastAsia="仿宋" w:cs="仿宋"/>
          <w:color w:val="000000"/>
          <w:kern w:val="0"/>
          <w:sz w:val="32"/>
          <w:szCs w:val="32"/>
        </w:rPr>
        <w:t>17</w:t>
      </w:r>
      <w:r>
        <w:rPr>
          <w:rFonts w:hint="eastAsia" w:ascii="仿宋" w:hAnsi="仿宋" w:eastAsia="仿宋" w:cs="仿宋"/>
          <w:color w:val="000000"/>
          <w:kern w:val="0"/>
          <w:sz w:val="32"/>
          <w:szCs w:val="32"/>
        </w:rPr>
        <w:t>个，</w:t>
      </w:r>
      <w:r>
        <w:rPr>
          <w:rFonts w:hint="eastAsia" w:ascii="仿宋" w:hAnsi="仿宋" w:eastAsia="仿宋" w:cs="宋体"/>
          <w:color w:val="000000"/>
          <w:kern w:val="0"/>
          <w:sz w:val="32"/>
          <w:szCs w:val="32"/>
        </w:rPr>
        <w:t>所属事业单位</w:t>
      </w:r>
      <w:r>
        <w:rPr>
          <w:rFonts w:ascii="仿宋" w:hAnsi="仿宋" w:eastAsia="仿宋" w:cs="宋体"/>
          <w:color w:val="000000"/>
          <w:kern w:val="0"/>
          <w:sz w:val="32"/>
          <w:szCs w:val="32"/>
        </w:rPr>
        <w:t>11</w:t>
      </w:r>
      <w:r>
        <w:rPr>
          <w:rFonts w:hint="eastAsia" w:ascii="仿宋" w:hAnsi="仿宋" w:eastAsia="仿宋" w:cs="宋体"/>
          <w:color w:val="000000"/>
          <w:kern w:val="0"/>
          <w:sz w:val="32"/>
          <w:szCs w:val="32"/>
        </w:rPr>
        <w:t>个，</w:t>
      </w:r>
      <w:r>
        <w:rPr>
          <w:rFonts w:hint="eastAsia" w:ascii="仿宋" w:hAnsi="仿宋" w:eastAsia="仿宋" w:cs="仿宋"/>
          <w:color w:val="000000"/>
          <w:kern w:val="0"/>
          <w:sz w:val="32"/>
          <w:szCs w:val="32"/>
        </w:rPr>
        <w:t>全部纳入</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年部门预算编制范围。</w:t>
      </w:r>
      <w:r>
        <w:rPr>
          <w:rFonts w:hint="eastAsia" w:eastAsia="仿宋_GB2312"/>
          <w:sz w:val="32"/>
          <w:szCs w:val="32"/>
        </w:rPr>
        <w:t>我局无二级预算单位，因此，纳入</w:t>
      </w:r>
      <w:r>
        <w:rPr>
          <w:rFonts w:eastAsia="仿宋_GB2312"/>
          <w:sz w:val="32"/>
          <w:szCs w:val="32"/>
        </w:rPr>
        <w:t>2021</w:t>
      </w:r>
      <w:r>
        <w:rPr>
          <w:rFonts w:hint="eastAsia" w:eastAsia="仿宋_GB2312"/>
          <w:sz w:val="32"/>
          <w:szCs w:val="32"/>
        </w:rPr>
        <w:t>年部门预算编制范围的为沅江市农业农村局本级。</w:t>
      </w:r>
    </w:p>
    <w:p>
      <w:pPr>
        <w:pStyle w:val="6"/>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内设股室分别是办公室、人事股、政策法规股、财务股、发展规划股、乡村产业发展股、市场与信息化股、科技教育股、农业资源保护与利用股、农产品质量安全监管股、种植业管理股、种业管理股、农田建设与农垦股、畜牧水产管理股、农业机械化管理股、农村合作经济指导股、农村社会事业促进股。</w:t>
      </w:r>
    </w:p>
    <w:p>
      <w:pPr>
        <w:pStyle w:val="6"/>
        <w:spacing w:before="0" w:beforeAutospacing="0" w:after="0" w:afterAutospacing="0" w:line="600" w:lineRule="exact"/>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所属事业单位分别是沅江市农业资源与环境保护工作站、沅江市种子技术服务和备荒种子储备中心、沅江市园艺示范场、沅江市土壤肥料工作站、沅江市植保植检站、沅江市农业综合服务中心、沅江市现代农业产业服务中心、沅江市渔业事务中心、沅江市农民素质教育服务中心、沅江市农业项目事务中心、沅江市农产品质量安全检测中心。</w:t>
      </w:r>
    </w:p>
    <w:p>
      <w:pPr>
        <w:widowControl/>
        <w:spacing w:line="520" w:lineRule="atLeast"/>
        <w:ind w:firstLine="420"/>
        <w:jc w:val="left"/>
        <w:rPr>
          <w:rFonts w:ascii="仿宋" w:hAnsi="仿宋" w:eastAsia="仿宋" w:cs="宋体"/>
          <w:color w:val="000000"/>
          <w:kern w:val="0"/>
          <w:sz w:val="32"/>
          <w:szCs w:val="32"/>
        </w:rPr>
      </w:pPr>
      <w:r>
        <w:rPr>
          <w:rFonts w:hint="eastAsia" w:ascii="仿宋" w:hAnsi="仿宋" w:eastAsia="仿宋"/>
          <w:color w:val="000000"/>
          <w:sz w:val="32"/>
          <w:szCs w:val="32"/>
          <w:shd w:val="clear" w:color="auto" w:fill="FFFFFF"/>
        </w:rPr>
        <w:t>截止</w:t>
      </w:r>
      <w:r>
        <w:rPr>
          <w:rFonts w:ascii="仿宋" w:hAnsi="仿宋" w:eastAsia="仿宋"/>
          <w:color w:val="000000"/>
          <w:sz w:val="32"/>
          <w:szCs w:val="32"/>
          <w:shd w:val="clear" w:color="auto" w:fill="FFFFFF"/>
        </w:rPr>
        <w:t>2020</w:t>
      </w:r>
      <w:r>
        <w:rPr>
          <w:rFonts w:hint="eastAsia" w:ascii="仿宋" w:hAnsi="仿宋" w:eastAsia="仿宋"/>
          <w:color w:val="000000"/>
          <w:sz w:val="32"/>
          <w:szCs w:val="32"/>
          <w:shd w:val="clear" w:color="auto" w:fill="FFFFFF"/>
        </w:rPr>
        <w:t>年</w:t>
      </w:r>
      <w:r>
        <w:rPr>
          <w:rFonts w:ascii="仿宋" w:hAnsi="仿宋" w:eastAsia="仿宋"/>
          <w:color w:val="000000"/>
          <w:sz w:val="32"/>
          <w:szCs w:val="32"/>
          <w:shd w:val="clear" w:color="auto" w:fill="FFFFFF"/>
        </w:rPr>
        <w:t>12</w:t>
      </w:r>
      <w:r>
        <w:rPr>
          <w:rFonts w:hint="eastAsia" w:ascii="仿宋" w:hAnsi="仿宋" w:eastAsia="仿宋"/>
          <w:color w:val="000000"/>
          <w:sz w:val="32"/>
          <w:szCs w:val="32"/>
          <w:shd w:val="clear" w:color="auto" w:fill="FFFFFF"/>
        </w:rPr>
        <w:t>月（预算编制时间），我系统纳入部门预算编制</w:t>
      </w:r>
      <w:r>
        <w:rPr>
          <w:rFonts w:ascii="仿宋" w:hAnsi="仿宋" w:eastAsia="仿宋"/>
          <w:color w:val="000000"/>
          <w:sz w:val="32"/>
          <w:szCs w:val="32"/>
          <w:shd w:val="clear" w:color="auto" w:fill="FFFFFF"/>
        </w:rPr>
        <w:t>349</w:t>
      </w:r>
      <w:r>
        <w:rPr>
          <w:rFonts w:hint="eastAsia" w:ascii="仿宋" w:hAnsi="仿宋" w:eastAsia="仿宋"/>
          <w:color w:val="000000"/>
          <w:sz w:val="32"/>
          <w:szCs w:val="32"/>
          <w:shd w:val="clear" w:color="auto" w:fill="FFFFFF"/>
        </w:rPr>
        <w:t>人。其中：实有在职人员</w:t>
      </w:r>
      <w:r>
        <w:rPr>
          <w:rFonts w:ascii="仿宋" w:hAnsi="仿宋" w:eastAsia="仿宋"/>
          <w:color w:val="000000"/>
          <w:sz w:val="32"/>
          <w:szCs w:val="32"/>
          <w:shd w:val="clear" w:color="auto" w:fill="FFFFFF"/>
        </w:rPr>
        <w:t>171</w:t>
      </w:r>
      <w:r>
        <w:rPr>
          <w:rFonts w:hint="eastAsia" w:ascii="仿宋" w:hAnsi="仿宋" w:eastAsia="仿宋"/>
          <w:color w:val="000000"/>
          <w:sz w:val="32"/>
          <w:szCs w:val="32"/>
          <w:shd w:val="clear" w:color="auto" w:fill="FFFFFF"/>
        </w:rPr>
        <w:t>人，离退休人员</w:t>
      </w:r>
      <w:r>
        <w:rPr>
          <w:rFonts w:ascii="仿宋" w:hAnsi="仿宋" w:eastAsia="仿宋"/>
          <w:color w:val="000000"/>
          <w:sz w:val="32"/>
          <w:szCs w:val="32"/>
          <w:shd w:val="clear" w:color="auto" w:fill="FFFFFF"/>
        </w:rPr>
        <w:t>161</w:t>
      </w:r>
      <w:r>
        <w:rPr>
          <w:rFonts w:hint="eastAsia" w:ascii="仿宋" w:hAnsi="仿宋" w:eastAsia="仿宋"/>
          <w:color w:val="000000"/>
          <w:sz w:val="32"/>
          <w:szCs w:val="32"/>
          <w:shd w:val="clear" w:color="auto" w:fill="FFFFFF"/>
        </w:rPr>
        <w:t>人，遗属</w:t>
      </w:r>
      <w:r>
        <w:rPr>
          <w:rFonts w:ascii="仿宋" w:hAnsi="仿宋" w:eastAsia="仿宋"/>
          <w:color w:val="000000"/>
          <w:sz w:val="32"/>
          <w:szCs w:val="32"/>
          <w:shd w:val="clear" w:color="auto" w:fill="FFFFFF"/>
        </w:rPr>
        <w:t>17</w:t>
      </w:r>
      <w:r>
        <w:rPr>
          <w:rFonts w:hint="eastAsia" w:ascii="仿宋" w:hAnsi="仿宋" w:eastAsia="仿宋"/>
          <w:color w:val="000000"/>
          <w:sz w:val="32"/>
          <w:szCs w:val="32"/>
          <w:shd w:val="clear" w:color="auto" w:fill="FFFFFF"/>
        </w:rPr>
        <w:t>人。</w:t>
      </w:r>
    </w:p>
    <w:p>
      <w:pPr>
        <w:autoSpaceDE w:val="0"/>
        <w:autoSpaceDN w:val="0"/>
        <w:adjustRightInd w:val="0"/>
        <w:spacing w:line="520" w:lineRule="exact"/>
        <w:ind w:firstLine="643"/>
        <w:rPr>
          <w:rFonts w:ascii="楷体" w:hAnsi="楷体" w:eastAsia="楷体" w:cs="仿宋_GB2312"/>
          <w:b/>
          <w:bCs/>
          <w:sz w:val="32"/>
          <w:szCs w:val="32"/>
        </w:rPr>
      </w:pPr>
      <w:r>
        <w:rPr>
          <w:rFonts w:hint="eastAsia" w:ascii="楷体" w:hAnsi="楷体" w:eastAsia="楷体" w:cs="仿宋_GB2312"/>
          <w:b/>
          <w:bCs/>
          <w:sz w:val="32"/>
          <w:szCs w:val="32"/>
        </w:rPr>
        <w:t>（二）主要工作职责</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、负责全市农业、农村工作的协调和综合工作，组织研究全市农业、农村发展和改革中的问题，提出农业、农村发展和改革的政策建议，指导农村发展和改革工作。</w:t>
      </w:r>
    </w:p>
    <w:p>
      <w:pPr>
        <w:ind w:firstLine="640" w:firstLineChars="200"/>
        <w:rPr>
          <w:rFonts w:ascii="仿宋" w:hAnsi="仿宋" w:eastAsia="仿宋" w:cs="仿宋"/>
          <w:color w:val="000000"/>
          <w:sz w:val="32"/>
          <w:szCs w:val="32"/>
          <w:shd w:val="clear" w:color="auto" w:fill="FFFFFF"/>
        </w:rPr>
      </w:pPr>
      <w:r>
        <w:rPr>
          <w:rFonts w:ascii="仿宋" w:hAnsi="仿宋" w:eastAsia="仿宋" w:cs="仿宋"/>
          <w:sz w:val="32"/>
          <w:szCs w:val="32"/>
        </w:rPr>
        <w:t>2</w:t>
      </w:r>
      <w:r>
        <w:rPr>
          <w:rFonts w:hint="eastAsia" w:ascii="仿宋" w:hAnsi="仿宋" w:eastAsia="仿宋" w:cs="仿宋"/>
          <w:sz w:val="32"/>
          <w:szCs w:val="32"/>
        </w:rPr>
        <w:t>、指导协调县域经济发展和新农村建设，研究提出县域经济发展和新农村建设的政策与规划建议，参与农村小城镇规划和建设的有关工作，参与农村社会事业发展工作。</w:t>
      </w:r>
      <w:r>
        <w:rPr>
          <w:rFonts w:ascii="仿宋" w:hAnsi="仿宋" w:eastAsia="仿宋" w:cs="仿宋"/>
          <w:color w:val="000000"/>
          <w:sz w:val="32"/>
          <w:szCs w:val="32"/>
          <w:shd w:val="clear" w:color="auto" w:fill="FFFFFF"/>
        </w:rPr>
        <w:t xml:space="preserve"> </w:t>
      </w:r>
    </w:p>
    <w:p>
      <w:pPr>
        <w:widowControl/>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3</w:t>
      </w:r>
      <w:r>
        <w:rPr>
          <w:rFonts w:hint="eastAsia" w:ascii="仿宋" w:hAnsi="仿宋" w:eastAsia="仿宋" w:cs="仿宋"/>
          <w:color w:val="000000"/>
          <w:sz w:val="32"/>
          <w:szCs w:val="32"/>
          <w:shd w:val="clear" w:color="auto" w:fill="FFFFFF"/>
        </w:rPr>
        <w:t>、贯彻执行国家种植业、畜牧业、渔业、农业机械化、农产品加工业等农业各产业（以下简称农业）发展的方针政策，推进农业依法行政。</w:t>
      </w:r>
    </w:p>
    <w:p>
      <w:pPr>
        <w:widowControl/>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4</w:t>
      </w:r>
      <w:r>
        <w:rPr>
          <w:rFonts w:hint="eastAsia" w:ascii="仿宋" w:hAnsi="仿宋" w:eastAsia="仿宋" w:cs="仿宋"/>
          <w:color w:val="000000"/>
          <w:sz w:val="32"/>
          <w:szCs w:val="32"/>
          <w:shd w:val="clear" w:color="auto" w:fill="FFFFFF"/>
        </w:rPr>
        <w:t>、研究提出稳定和完善农村经济经营管理体制的建议，指导开展农村土地承包经营权确权登记颁证、农村土地承包经营权有序流转和农村土地承包经营纠纷调解仲裁工作。</w:t>
      </w:r>
    </w:p>
    <w:p>
      <w:pPr>
        <w:widowControl/>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5</w:t>
      </w:r>
      <w:r>
        <w:rPr>
          <w:rFonts w:hint="eastAsia" w:ascii="仿宋" w:hAnsi="仿宋" w:eastAsia="仿宋" w:cs="仿宋"/>
          <w:color w:val="000000"/>
          <w:sz w:val="32"/>
          <w:szCs w:val="32"/>
          <w:shd w:val="clear" w:color="auto" w:fill="FFFFFF"/>
        </w:rPr>
        <w:t>、指导粮食等主要农产品生产，组织落实促进粮食等主要农产品生产发展的相关政策措施，引导农业产业结构调整和产品品质改善。</w:t>
      </w:r>
    </w:p>
    <w:p>
      <w:pPr>
        <w:widowControl/>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6</w:t>
      </w:r>
      <w:r>
        <w:rPr>
          <w:rFonts w:hint="eastAsia" w:ascii="仿宋" w:hAnsi="仿宋" w:eastAsia="仿宋" w:cs="仿宋"/>
          <w:color w:val="000000"/>
          <w:sz w:val="32"/>
          <w:szCs w:val="32"/>
          <w:shd w:val="clear" w:color="auto" w:fill="FFFFFF"/>
        </w:rPr>
        <w:t>、组织拟订促进农产品加工业发展政策、规划并组织实施，提出农业产业保护政策建议。</w:t>
      </w:r>
    </w:p>
    <w:p>
      <w:pPr>
        <w:widowControl/>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7</w:t>
      </w:r>
      <w:r>
        <w:rPr>
          <w:rFonts w:hint="eastAsia" w:ascii="仿宋" w:hAnsi="仿宋" w:eastAsia="仿宋" w:cs="仿宋"/>
          <w:color w:val="000000"/>
          <w:sz w:val="32"/>
          <w:szCs w:val="32"/>
          <w:shd w:val="clear" w:color="auto" w:fill="FFFFFF"/>
        </w:rPr>
        <w:t>、承担提升农产品质量安全水平的责任，依法开展农产品质量安全风险评估，发布有关农产品质量安全状况信息，负责农产品质量安全监测；负责依法实施农业知识产权、动植物新品种保护和农业转基因生物安全监督管理。</w:t>
      </w:r>
    </w:p>
    <w:p>
      <w:pPr>
        <w:widowControl/>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8</w:t>
      </w:r>
      <w:r>
        <w:rPr>
          <w:rFonts w:hint="eastAsia" w:ascii="仿宋" w:hAnsi="仿宋" w:eastAsia="仿宋" w:cs="仿宋"/>
          <w:color w:val="000000"/>
          <w:sz w:val="32"/>
          <w:szCs w:val="32"/>
          <w:shd w:val="clear" w:color="auto" w:fill="FFFFFF"/>
        </w:rPr>
        <w:t>、组织、协调农业生产资料市场体系建设，依法开展主要农作物的商品种子生产、经营许可证核发，国内植物检疫证核发、征用蔬菜基地的行政许可及监督管理。</w:t>
      </w:r>
    </w:p>
    <w:p>
      <w:pPr>
        <w:widowControl/>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9</w:t>
      </w:r>
      <w:r>
        <w:rPr>
          <w:rFonts w:hint="eastAsia" w:ascii="仿宋" w:hAnsi="仿宋" w:eastAsia="仿宋" w:cs="仿宋"/>
          <w:color w:val="000000"/>
          <w:sz w:val="32"/>
          <w:szCs w:val="32"/>
          <w:shd w:val="clear" w:color="auto" w:fill="FFFFFF"/>
        </w:rPr>
        <w:t>、负责农作物重大病虫害防治，贯彻执行国家动植物防疫检疫法律法规和政策，会同有关部门制定全市动植物检疫防疫措施并组织实施，负责动植物防疫和检疫体系建设。</w:t>
      </w:r>
    </w:p>
    <w:p>
      <w:pPr>
        <w:widowControl/>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10</w:t>
      </w:r>
      <w:r>
        <w:rPr>
          <w:rFonts w:hint="eastAsia" w:ascii="仿宋" w:hAnsi="仿宋" w:eastAsia="仿宋" w:cs="仿宋"/>
          <w:color w:val="000000"/>
          <w:sz w:val="32"/>
          <w:szCs w:val="32"/>
          <w:shd w:val="clear" w:color="auto" w:fill="FFFFFF"/>
        </w:rPr>
        <w:t>、承担农业防灾减灾的责任，监测、发布农业灾情，组织种子、化肥等救灾物资储备和调拨，提出生产救灾资金安排建议，指导紧急救灾和灾后生产恢复。</w:t>
      </w:r>
    </w:p>
    <w:p>
      <w:pPr>
        <w:widowControl/>
        <w:shd w:val="clear" w:color="auto" w:fill="FFFFFF"/>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11</w:t>
      </w:r>
      <w:r>
        <w:rPr>
          <w:rFonts w:hint="eastAsia" w:ascii="仿宋" w:hAnsi="仿宋" w:eastAsia="仿宋" w:cs="仿宋"/>
          <w:color w:val="000000"/>
          <w:sz w:val="32"/>
          <w:szCs w:val="32"/>
          <w:shd w:val="clear" w:color="auto" w:fill="FFFFFF"/>
        </w:rPr>
        <w:t>、管理农业和农村经济信息，监测分析农业、农村经济运行，开展相关农业统计工作。</w:t>
      </w:r>
    </w:p>
    <w:p>
      <w:pPr>
        <w:widowControl/>
        <w:shd w:val="clear" w:color="auto" w:fill="FFFFFF"/>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12</w:t>
      </w:r>
      <w:r>
        <w:rPr>
          <w:rFonts w:hint="eastAsia" w:ascii="仿宋" w:hAnsi="仿宋" w:eastAsia="仿宋" w:cs="仿宋"/>
          <w:color w:val="000000"/>
          <w:sz w:val="32"/>
          <w:szCs w:val="32"/>
          <w:shd w:val="clear" w:color="auto" w:fill="FFFFFF"/>
        </w:rPr>
        <w:t>、制定农业科研、农技推广的规划、计划和有关政策并指导实施。</w:t>
      </w:r>
    </w:p>
    <w:p>
      <w:pPr>
        <w:widowControl/>
        <w:shd w:val="clear" w:color="auto" w:fill="FFFFFF"/>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13</w:t>
      </w:r>
      <w:r>
        <w:rPr>
          <w:rFonts w:hint="eastAsia" w:ascii="仿宋" w:hAnsi="仿宋" w:eastAsia="仿宋" w:cs="仿宋"/>
          <w:color w:val="000000"/>
          <w:sz w:val="32"/>
          <w:szCs w:val="32"/>
          <w:shd w:val="clear" w:color="auto" w:fill="FFFFFF"/>
        </w:rPr>
        <w:t>、负责农业农村专业人员从业资格管理和农民技术职称评定工作。</w:t>
      </w:r>
    </w:p>
    <w:p>
      <w:pPr>
        <w:widowControl/>
        <w:shd w:val="clear" w:color="auto" w:fill="FFFFFF"/>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14</w:t>
      </w:r>
      <w:r>
        <w:rPr>
          <w:rFonts w:hint="eastAsia" w:ascii="仿宋" w:hAnsi="仿宋" w:eastAsia="仿宋" w:cs="仿宋"/>
          <w:color w:val="000000"/>
          <w:sz w:val="32"/>
          <w:szCs w:val="32"/>
          <w:shd w:val="clear" w:color="auto" w:fill="FFFFFF"/>
        </w:rPr>
        <w:t>、组织农业资源区划工作，指导农用地、渔业水域、宜农滩涂、宜农湿地以及农业生物物种资源的保护和管理。</w:t>
      </w:r>
    </w:p>
    <w:p>
      <w:pPr>
        <w:widowControl/>
        <w:shd w:val="clear" w:color="auto" w:fill="FFFFFF"/>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15</w:t>
      </w:r>
      <w:r>
        <w:rPr>
          <w:rFonts w:hint="eastAsia" w:ascii="仿宋" w:hAnsi="仿宋" w:eastAsia="仿宋" w:cs="仿宋"/>
          <w:color w:val="000000"/>
          <w:sz w:val="32"/>
          <w:szCs w:val="32"/>
          <w:shd w:val="clear" w:color="auto" w:fill="FFFFFF"/>
        </w:rPr>
        <w:t>、制定并实施农业生态建设规划，指导农村可再生能源综合开发与利用，指导农业生物质产业发展和农业农村节能减排，承担指导农业面源污染治理有关工作。</w:t>
      </w:r>
    </w:p>
    <w:p>
      <w:pPr>
        <w:widowControl/>
        <w:shd w:val="clear" w:color="auto" w:fill="FFFFFF"/>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16</w:t>
      </w:r>
      <w:r>
        <w:rPr>
          <w:rFonts w:hint="eastAsia" w:ascii="仿宋" w:hAnsi="仿宋" w:eastAsia="仿宋" w:cs="仿宋"/>
          <w:color w:val="000000"/>
          <w:sz w:val="32"/>
          <w:szCs w:val="32"/>
          <w:shd w:val="clear" w:color="auto" w:fill="FFFFFF"/>
        </w:rPr>
        <w:t>、参与组织开展农业贸易促进和有关经济、技术交流与合作，协助有关部门组织实施农业援外项目和合作交流项目。</w:t>
      </w:r>
    </w:p>
    <w:p>
      <w:pPr>
        <w:widowControl/>
        <w:shd w:val="clear" w:color="auto" w:fill="FFFFFF"/>
        <w:spacing w:line="560" w:lineRule="exac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17</w:t>
      </w:r>
      <w:r>
        <w:rPr>
          <w:rFonts w:hint="eastAsia" w:ascii="仿宋" w:hAnsi="仿宋" w:eastAsia="仿宋" w:cs="仿宋"/>
          <w:color w:val="000000"/>
          <w:sz w:val="32"/>
          <w:szCs w:val="32"/>
          <w:shd w:val="clear" w:color="auto" w:fill="FFFFFF"/>
        </w:rPr>
        <w:t>、承办市委、市人民政府交办的其他事项。</w:t>
      </w:r>
    </w:p>
    <w:p>
      <w:pPr>
        <w:widowControl/>
        <w:shd w:val="clear" w:color="auto" w:fill="FFFFFF"/>
        <w:contextualSpacing/>
        <w:jc w:val="left"/>
        <w:rPr>
          <w:rFonts w:ascii="黑体" w:hAnsi="黑体" w:eastAsia="黑体" w:cs="方正黑体简体"/>
          <w:b/>
          <w:bCs/>
          <w:color w:val="000000"/>
          <w:kern w:val="0"/>
          <w:sz w:val="32"/>
          <w:szCs w:val="32"/>
          <w:shd w:val="clear" w:color="auto" w:fill="FFFFFF"/>
        </w:rPr>
      </w:pPr>
      <w:r>
        <w:rPr>
          <w:rFonts w:hint="eastAsia" w:ascii="黑体" w:hAnsi="黑体" w:eastAsia="黑体" w:cs="方正黑体简体"/>
          <w:b/>
          <w:bCs/>
          <w:color w:val="000000"/>
          <w:kern w:val="0"/>
          <w:sz w:val="32"/>
          <w:szCs w:val="32"/>
          <w:shd w:val="clear" w:color="auto" w:fill="FFFFFF"/>
        </w:rPr>
        <w:t>二、部门整体支出管理及使用情况</w:t>
      </w:r>
    </w:p>
    <w:p>
      <w:pPr>
        <w:autoSpaceDE w:val="0"/>
        <w:autoSpaceDN w:val="0"/>
        <w:adjustRightInd w:val="0"/>
        <w:spacing w:line="520" w:lineRule="exact"/>
        <w:ind w:firstLine="643"/>
        <w:rPr>
          <w:rFonts w:ascii="楷体" w:hAnsi="楷体" w:eastAsia="楷体" w:cs="仿宋_GB2312"/>
          <w:b/>
          <w:bCs/>
          <w:sz w:val="32"/>
          <w:szCs w:val="32"/>
        </w:rPr>
      </w:pPr>
      <w:r>
        <w:rPr>
          <w:rFonts w:hint="eastAsia" w:ascii="楷体" w:hAnsi="楷体" w:eastAsia="楷体" w:cs="仿宋_GB2312"/>
          <w:b/>
          <w:bCs/>
          <w:sz w:val="32"/>
          <w:szCs w:val="32"/>
        </w:rPr>
        <w:t>（一）</w:t>
      </w:r>
      <w:r>
        <w:rPr>
          <w:rFonts w:ascii="楷体" w:hAnsi="楷体" w:eastAsia="楷体" w:cs="仿宋_GB2312"/>
          <w:b/>
          <w:bCs/>
          <w:sz w:val="32"/>
          <w:szCs w:val="32"/>
        </w:rPr>
        <w:t>2021</w:t>
      </w:r>
      <w:r>
        <w:rPr>
          <w:rFonts w:hint="eastAsia" w:ascii="楷体" w:hAnsi="楷体" w:eastAsia="楷体" w:cs="仿宋_GB2312"/>
          <w:b/>
          <w:bCs/>
          <w:sz w:val="32"/>
          <w:szCs w:val="32"/>
        </w:rPr>
        <w:t>年度年初总预算收支情况。</w:t>
      </w:r>
    </w:p>
    <w:p>
      <w:pPr>
        <w:widowControl/>
        <w:shd w:val="clear" w:color="auto" w:fill="FFFFFF"/>
        <w:spacing w:line="560" w:lineRule="exact"/>
        <w:ind w:left="140" w:leftChars="67" w:firstLine="480" w:firstLineChars="150"/>
        <w:jc w:val="left"/>
        <w:rPr>
          <w:rFonts w:ascii="仿宋" w:hAnsi="仿宋" w:eastAsia="仿宋" w:cs="仿宋"/>
          <w:color w:val="000000"/>
          <w:kern w:val="0"/>
          <w:sz w:val="32"/>
          <w:szCs w:val="32"/>
        </w:rPr>
      </w:pP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年单位预算收入</w:t>
      </w:r>
      <w:r>
        <w:rPr>
          <w:rFonts w:ascii="仿宋" w:hAnsi="仿宋" w:eastAsia="仿宋" w:cs="宋体"/>
          <w:color w:val="000000"/>
          <w:kern w:val="0"/>
          <w:sz w:val="32"/>
          <w:szCs w:val="32"/>
        </w:rPr>
        <w:t>1998.852</w:t>
      </w:r>
      <w:r>
        <w:rPr>
          <w:rFonts w:hint="eastAsia" w:ascii="仿宋" w:hAnsi="仿宋" w:eastAsia="仿宋" w:cs="仿宋"/>
          <w:color w:val="000000"/>
          <w:kern w:val="0"/>
          <w:sz w:val="32"/>
          <w:szCs w:val="32"/>
        </w:rPr>
        <w:t>万元，其中：一般公共预算拨款</w:t>
      </w:r>
      <w:r>
        <w:rPr>
          <w:rFonts w:ascii="仿宋" w:hAnsi="仿宋" w:eastAsia="仿宋" w:cs="宋体"/>
          <w:color w:val="000000"/>
          <w:kern w:val="0"/>
          <w:sz w:val="32"/>
          <w:szCs w:val="32"/>
        </w:rPr>
        <w:t>1998.852</w:t>
      </w:r>
      <w:r>
        <w:rPr>
          <w:rFonts w:hint="eastAsia" w:ascii="仿宋" w:hAnsi="仿宋" w:eastAsia="仿宋" w:cs="仿宋"/>
          <w:color w:val="000000"/>
          <w:kern w:val="0"/>
          <w:sz w:val="32"/>
          <w:szCs w:val="32"/>
        </w:rPr>
        <w:t>万元，纳入公共预算管理的非税拨款</w:t>
      </w:r>
      <w:r>
        <w:rPr>
          <w:rFonts w:ascii="仿宋" w:hAnsi="仿宋" w:eastAsia="仿宋" w:cs="仿宋"/>
          <w:color w:val="000000"/>
          <w:kern w:val="0"/>
          <w:sz w:val="32"/>
          <w:szCs w:val="32"/>
        </w:rPr>
        <w:t>0</w:t>
      </w:r>
      <w:r>
        <w:rPr>
          <w:rFonts w:hint="eastAsia" w:ascii="仿宋" w:hAnsi="仿宋" w:eastAsia="仿宋" w:cs="仿宋"/>
          <w:color w:val="000000"/>
          <w:kern w:val="0"/>
          <w:sz w:val="32"/>
          <w:szCs w:val="32"/>
        </w:rPr>
        <w:t>万元。</w:t>
      </w:r>
    </w:p>
    <w:p>
      <w:pPr>
        <w:widowControl/>
        <w:spacing w:line="600" w:lineRule="exact"/>
        <w:ind w:firstLine="627" w:firstLineChars="196"/>
        <w:jc w:val="left"/>
        <w:rPr>
          <w:rFonts w:eastAsia="仿宋_GB2312"/>
          <w:sz w:val="32"/>
          <w:szCs w:val="32"/>
        </w:rPr>
      </w:pP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宋体"/>
          <w:color w:val="000000"/>
          <w:kern w:val="0"/>
          <w:sz w:val="32"/>
          <w:szCs w:val="32"/>
        </w:rPr>
        <w:t>2021</w:t>
      </w:r>
      <w:r>
        <w:rPr>
          <w:rFonts w:hint="eastAsia" w:ascii="仿宋" w:hAnsi="仿宋" w:eastAsia="仿宋" w:cs="宋体"/>
          <w:color w:val="000000"/>
          <w:kern w:val="0"/>
          <w:sz w:val="32"/>
          <w:szCs w:val="32"/>
        </w:rPr>
        <w:t>年单位预算支出</w:t>
      </w:r>
      <w:r>
        <w:rPr>
          <w:rFonts w:ascii="仿宋" w:hAnsi="仿宋" w:eastAsia="仿宋" w:cs="宋体"/>
          <w:color w:val="000000"/>
          <w:kern w:val="0"/>
          <w:sz w:val="32"/>
          <w:szCs w:val="32"/>
        </w:rPr>
        <w:t>1998.852</w:t>
      </w:r>
      <w:r>
        <w:rPr>
          <w:rFonts w:hint="eastAsia" w:ascii="仿宋" w:hAnsi="仿宋" w:eastAsia="仿宋" w:cs="宋体"/>
          <w:color w:val="000000"/>
          <w:kern w:val="0"/>
          <w:sz w:val="32"/>
          <w:szCs w:val="32"/>
        </w:rPr>
        <w:t>万元，其中：行政运行</w:t>
      </w:r>
      <w:r>
        <w:rPr>
          <w:rFonts w:ascii="仿宋" w:hAnsi="仿宋" w:eastAsia="仿宋" w:cs="宋体"/>
          <w:color w:val="000000"/>
          <w:kern w:val="0"/>
          <w:sz w:val="32"/>
          <w:szCs w:val="32"/>
        </w:rPr>
        <w:t>1730.099</w:t>
      </w:r>
      <w:r>
        <w:rPr>
          <w:rFonts w:hint="eastAsia" w:ascii="仿宋" w:hAnsi="仿宋" w:eastAsia="仿宋" w:cs="宋体"/>
          <w:color w:val="000000"/>
          <w:kern w:val="0"/>
          <w:sz w:val="32"/>
          <w:szCs w:val="32"/>
        </w:rPr>
        <w:t>万元；一般行政管理实务</w:t>
      </w:r>
      <w:r>
        <w:rPr>
          <w:rFonts w:ascii="仿宋" w:hAnsi="仿宋" w:eastAsia="仿宋" w:cs="宋体"/>
          <w:color w:val="000000"/>
          <w:kern w:val="0"/>
          <w:sz w:val="32"/>
          <w:szCs w:val="32"/>
        </w:rPr>
        <w:t>126</w:t>
      </w:r>
      <w:r>
        <w:rPr>
          <w:rFonts w:hint="eastAsia" w:ascii="仿宋" w:hAnsi="仿宋" w:eastAsia="仿宋" w:cs="宋体"/>
          <w:color w:val="000000"/>
          <w:kern w:val="0"/>
          <w:sz w:val="32"/>
          <w:szCs w:val="32"/>
        </w:rPr>
        <w:t>万元。住房公积金</w:t>
      </w:r>
      <w:r>
        <w:rPr>
          <w:rFonts w:ascii="仿宋" w:hAnsi="仿宋" w:eastAsia="仿宋" w:cs="宋体"/>
          <w:color w:val="000000"/>
          <w:kern w:val="0"/>
          <w:sz w:val="32"/>
          <w:szCs w:val="32"/>
        </w:rPr>
        <w:t>142.753</w:t>
      </w:r>
      <w:r>
        <w:rPr>
          <w:rFonts w:hint="eastAsia" w:ascii="仿宋" w:hAnsi="仿宋" w:eastAsia="仿宋" w:cs="宋体"/>
          <w:color w:val="000000"/>
          <w:kern w:val="0"/>
          <w:sz w:val="32"/>
          <w:szCs w:val="32"/>
        </w:rPr>
        <w:t>万元。支出较去年增加</w:t>
      </w:r>
      <w:r>
        <w:rPr>
          <w:rFonts w:ascii="仿宋" w:hAnsi="仿宋" w:eastAsia="仿宋" w:cs="宋体"/>
          <w:color w:val="000000"/>
          <w:kern w:val="0"/>
          <w:sz w:val="32"/>
          <w:szCs w:val="32"/>
        </w:rPr>
        <w:t>61.089</w:t>
      </w:r>
      <w:r>
        <w:rPr>
          <w:rFonts w:hint="eastAsia" w:ascii="仿宋" w:hAnsi="仿宋" w:eastAsia="仿宋" w:cs="宋体"/>
          <w:color w:val="000000"/>
          <w:kern w:val="0"/>
          <w:sz w:val="32"/>
          <w:szCs w:val="32"/>
        </w:rPr>
        <w:t>万元，主要是机构并入，人员增加。</w:t>
      </w:r>
    </w:p>
    <w:p>
      <w:pPr>
        <w:widowControl/>
        <w:shd w:val="clear" w:color="auto" w:fill="FFFFFF"/>
        <w:spacing w:line="560" w:lineRule="exact"/>
        <w:ind w:firstLine="570"/>
        <w:jc w:val="left"/>
        <w:rPr>
          <w:rFonts w:ascii="仿宋" w:hAnsi="仿宋" w:eastAsia="仿宋" w:cs="仿宋"/>
          <w:color w:val="000000"/>
          <w:kern w:val="0"/>
          <w:sz w:val="32"/>
          <w:szCs w:val="32"/>
        </w:rPr>
      </w:pP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年全年收支预算平衡。</w:t>
      </w:r>
    </w:p>
    <w:p>
      <w:pPr>
        <w:widowControl/>
        <w:shd w:val="clear" w:color="auto" w:fill="FFFFFF"/>
        <w:spacing w:line="56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（二）</w:t>
      </w:r>
      <w:r>
        <w:rPr>
          <w:rFonts w:ascii="楷体" w:hAnsi="楷体" w:eastAsia="楷体" w:cs="楷体"/>
          <w:b/>
          <w:bCs/>
          <w:sz w:val="32"/>
          <w:szCs w:val="32"/>
        </w:rPr>
        <w:t>2021</w:t>
      </w:r>
      <w:r>
        <w:rPr>
          <w:rFonts w:hint="eastAsia" w:ascii="楷体" w:hAnsi="楷体" w:eastAsia="楷体" w:cs="楷体"/>
          <w:b/>
          <w:bCs/>
          <w:sz w:val="32"/>
          <w:szCs w:val="32"/>
        </w:rPr>
        <w:t>年度预算收支决算情况。</w:t>
      </w:r>
    </w:p>
    <w:p>
      <w:pPr>
        <w:autoSpaceDE w:val="0"/>
        <w:autoSpaceDN w:val="0"/>
        <w:adjustRightInd w:val="0"/>
        <w:spacing w:line="520" w:lineRule="exact"/>
        <w:ind w:firstLine="643"/>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、财政补助收入情况</w:t>
      </w:r>
    </w:p>
    <w:p>
      <w:pPr>
        <w:autoSpaceDE w:val="0"/>
        <w:autoSpaceDN w:val="0"/>
        <w:adjustRightInd w:val="0"/>
        <w:spacing w:line="520" w:lineRule="exact"/>
        <w:ind w:firstLine="640"/>
        <w:rPr>
          <w:rFonts w:eastAsia="仿宋"/>
          <w:sz w:val="32"/>
          <w:szCs w:val="32"/>
        </w:rPr>
      </w:pPr>
      <w:r>
        <w:rPr>
          <w:rFonts w:ascii="仿宋" w:eastAsia="仿宋" w:cs="仿宋"/>
          <w:sz w:val="32"/>
          <w:szCs w:val="32"/>
        </w:rPr>
        <w:t>2021</w:t>
      </w:r>
      <w:r>
        <w:rPr>
          <w:rFonts w:hint="eastAsia" w:ascii="仿宋" w:eastAsia="仿宋" w:cs="仿宋"/>
          <w:sz w:val="32"/>
          <w:szCs w:val="32"/>
        </w:rPr>
        <w:t>年收入实际完成</w:t>
      </w:r>
      <w:r>
        <w:rPr>
          <w:rFonts w:hint="eastAsia" w:ascii="仿宋" w:eastAsia="仿宋" w:cs="仿宋"/>
          <w:sz w:val="28"/>
          <w:szCs w:val="28"/>
          <w:lang w:val="en-US" w:eastAsia="zh-CN"/>
        </w:rPr>
        <w:t>22807</w:t>
      </w:r>
      <w:r>
        <w:rPr>
          <w:rFonts w:hint="eastAsia" w:ascii="仿宋" w:eastAsia="仿宋" w:cs="仿宋"/>
          <w:sz w:val="32"/>
          <w:szCs w:val="32"/>
        </w:rPr>
        <w:t>万元，比上年增加</w:t>
      </w:r>
      <w:r>
        <w:rPr>
          <w:rFonts w:hint="eastAsia" w:ascii="仿宋" w:eastAsia="仿宋" w:cs="仿宋"/>
          <w:sz w:val="28"/>
          <w:szCs w:val="28"/>
          <w:lang w:val="en-US" w:eastAsia="zh-CN"/>
        </w:rPr>
        <w:t>467</w:t>
      </w:r>
      <w:r>
        <w:rPr>
          <w:rFonts w:hint="eastAsia" w:ascii="仿宋" w:eastAsia="仿宋" w:cs="仿宋"/>
          <w:sz w:val="32"/>
          <w:szCs w:val="32"/>
        </w:rPr>
        <w:t>万元，增长</w:t>
      </w:r>
      <w:r>
        <w:rPr>
          <w:rFonts w:ascii="仿宋" w:eastAsia="仿宋" w:cs="仿宋"/>
          <w:sz w:val="28"/>
          <w:szCs w:val="28"/>
        </w:rPr>
        <w:t>2.</w:t>
      </w:r>
      <w:r>
        <w:rPr>
          <w:rFonts w:hint="eastAsia" w:ascii="仿宋" w:eastAsia="仿宋" w:cs="仿宋"/>
          <w:sz w:val="28"/>
          <w:szCs w:val="28"/>
          <w:lang w:val="en-US" w:eastAsia="zh-CN"/>
        </w:rPr>
        <w:t>09</w:t>
      </w:r>
      <w:r>
        <w:rPr>
          <w:rFonts w:ascii="仿宋" w:eastAsia="仿宋" w:cs="仿宋"/>
          <w:sz w:val="32"/>
          <w:szCs w:val="32"/>
        </w:rPr>
        <w:t>%</w:t>
      </w:r>
      <w:r>
        <w:rPr>
          <w:rFonts w:hint="eastAsia" w:ascii="仿宋" w:eastAsia="仿宋" w:cs="仿宋"/>
          <w:sz w:val="32"/>
          <w:szCs w:val="32"/>
        </w:rPr>
        <w:t>。主要原因是：</w:t>
      </w:r>
      <w:r>
        <w:rPr>
          <w:rFonts w:hint="eastAsia" w:ascii="仿宋" w:eastAsia="仿宋" w:cs="仿宋"/>
          <w:sz w:val="28"/>
          <w:szCs w:val="28"/>
        </w:rPr>
        <w:t>农业项目增加</w:t>
      </w:r>
      <w:r>
        <w:rPr>
          <w:rFonts w:hint="eastAsia" w:ascii="仿宋" w:eastAsia="仿宋" w:cs="仿宋"/>
          <w:sz w:val="32"/>
          <w:szCs w:val="32"/>
        </w:rPr>
        <w:t>。其中：一般公共预算财政拨款收入完成</w:t>
      </w:r>
      <w:r>
        <w:rPr>
          <w:rFonts w:hint="eastAsia" w:ascii="仿宋" w:eastAsia="仿宋" w:cs="仿宋"/>
          <w:sz w:val="28"/>
          <w:szCs w:val="28"/>
          <w:lang w:val="en-US" w:eastAsia="zh-CN"/>
        </w:rPr>
        <w:t>16034</w:t>
      </w:r>
      <w:r>
        <w:rPr>
          <w:rFonts w:hint="eastAsia" w:ascii="仿宋" w:eastAsia="仿宋" w:cs="仿宋"/>
          <w:sz w:val="32"/>
          <w:szCs w:val="32"/>
        </w:rPr>
        <w:t>万元，比上年增加</w:t>
      </w:r>
      <w:r>
        <w:rPr>
          <w:rFonts w:hint="eastAsia" w:ascii="仿宋" w:eastAsia="仿宋" w:cs="仿宋"/>
          <w:sz w:val="28"/>
          <w:szCs w:val="28"/>
          <w:lang w:val="en-US" w:eastAsia="zh-CN"/>
        </w:rPr>
        <w:t>7881</w:t>
      </w:r>
      <w:r>
        <w:rPr>
          <w:rFonts w:hint="eastAsia" w:ascii="仿宋" w:eastAsia="仿宋" w:cs="仿宋"/>
          <w:sz w:val="32"/>
          <w:szCs w:val="32"/>
        </w:rPr>
        <w:t>万元，增长</w:t>
      </w:r>
      <w:r>
        <w:rPr>
          <w:rFonts w:ascii="仿宋" w:eastAsia="仿宋" w:cs="仿宋"/>
          <w:sz w:val="32"/>
          <w:szCs w:val="32"/>
        </w:rPr>
        <w:t>10</w:t>
      </w:r>
      <w:r>
        <w:rPr>
          <w:rFonts w:hint="eastAsia" w:ascii="仿宋" w:eastAsia="仿宋" w:cs="仿宋"/>
          <w:sz w:val="32"/>
          <w:szCs w:val="32"/>
          <w:lang w:val="en-US" w:eastAsia="zh-CN"/>
        </w:rPr>
        <w:t>3.46</w:t>
      </w:r>
      <w:r>
        <w:rPr>
          <w:rFonts w:ascii="仿宋" w:eastAsia="仿宋" w:cs="仿宋"/>
          <w:sz w:val="32"/>
          <w:szCs w:val="32"/>
          <w:lang w:val="zh-CN"/>
        </w:rPr>
        <w:t>%</w:t>
      </w:r>
      <w:r>
        <w:rPr>
          <w:rFonts w:hint="eastAsia" w:ascii="仿宋" w:eastAsia="仿宋" w:cs="仿宋"/>
          <w:sz w:val="32"/>
          <w:szCs w:val="32"/>
          <w:lang w:val="zh-CN"/>
        </w:rPr>
        <w:t>，变化的主要原因是：</w:t>
      </w:r>
      <w:r>
        <w:rPr>
          <w:rFonts w:hint="eastAsia" w:ascii="仿宋" w:eastAsia="仿宋" w:cs="仿宋"/>
          <w:sz w:val="32"/>
          <w:szCs w:val="32"/>
        </w:rPr>
        <w:t>正常工资调资，机构改革，人员增加；农业项目增加；其他收入完成</w:t>
      </w:r>
      <w:r>
        <w:rPr>
          <w:rFonts w:ascii="仿宋" w:eastAsia="仿宋" w:cs="仿宋"/>
          <w:sz w:val="28"/>
          <w:szCs w:val="28"/>
        </w:rPr>
        <w:t>5635</w:t>
      </w:r>
      <w:r>
        <w:rPr>
          <w:rFonts w:hint="eastAsia" w:ascii="仿宋" w:eastAsia="仿宋" w:cs="仿宋"/>
          <w:sz w:val="32"/>
          <w:szCs w:val="32"/>
        </w:rPr>
        <w:t>万元，比上年</w:t>
      </w:r>
      <w:r>
        <w:rPr>
          <w:rFonts w:ascii="仿宋" w:eastAsia="仿宋" w:cs="仿宋"/>
          <w:sz w:val="28"/>
          <w:szCs w:val="28"/>
        </w:rPr>
        <w:t>14460</w:t>
      </w:r>
      <w:r>
        <w:rPr>
          <w:rFonts w:hint="eastAsia" w:ascii="仿宋" w:eastAsia="仿宋" w:cs="仿宋"/>
          <w:sz w:val="32"/>
          <w:szCs w:val="32"/>
        </w:rPr>
        <w:t>万元，增长</w:t>
      </w:r>
      <w:r>
        <w:rPr>
          <w:rFonts w:ascii="仿宋" w:eastAsia="仿宋" w:cs="仿宋"/>
          <w:sz w:val="28"/>
          <w:szCs w:val="28"/>
        </w:rPr>
        <w:t>-61.03</w:t>
      </w:r>
      <w:r>
        <w:rPr>
          <w:rFonts w:ascii="仿宋" w:eastAsia="仿宋" w:cs="仿宋"/>
          <w:sz w:val="32"/>
          <w:szCs w:val="32"/>
          <w:lang w:val="zh-CN"/>
        </w:rPr>
        <w:t>%</w:t>
      </w:r>
      <w:r>
        <w:rPr>
          <w:rFonts w:hint="eastAsia" w:ascii="仿宋" w:eastAsia="仿宋" w:cs="仿宋"/>
          <w:sz w:val="32"/>
          <w:szCs w:val="32"/>
          <w:lang w:val="zh-CN"/>
        </w:rPr>
        <w:t>，变化的主要原因是：</w:t>
      </w:r>
      <w:r>
        <w:rPr>
          <w:rFonts w:hint="eastAsia" w:ascii="仿宋" w:eastAsia="仿宋" w:cs="仿宋"/>
          <w:sz w:val="32"/>
          <w:szCs w:val="32"/>
        </w:rPr>
        <w:t>农业项目通过特设专户拨款减少，一般公共预算财政拨款增加。</w:t>
      </w:r>
    </w:p>
    <w:p>
      <w:pPr>
        <w:autoSpaceDE w:val="0"/>
        <w:autoSpaceDN w:val="0"/>
        <w:adjustRightInd w:val="0"/>
        <w:spacing w:line="520" w:lineRule="exact"/>
        <w:ind w:firstLine="643"/>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、财政补助支出情况</w:t>
      </w:r>
    </w:p>
    <w:p>
      <w:pPr>
        <w:autoSpaceDE w:val="0"/>
        <w:autoSpaceDN w:val="0"/>
        <w:adjustRightInd w:val="0"/>
        <w:spacing w:line="520" w:lineRule="exact"/>
        <w:ind w:firstLine="643"/>
        <w:rPr>
          <w:rFonts w:eastAsia="仿宋"/>
          <w:sz w:val="28"/>
          <w:szCs w:val="28"/>
          <w:lang w:val="zh-CN"/>
        </w:rPr>
      </w:pPr>
      <w:r>
        <w:rPr>
          <w:rFonts w:ascii="仿宋" w:eastAsia="仿宋" w:cs="仿宋"/>
          <w:sz w:val="32"/>
          <w:szCs w:val="32"/>
        </w:rPr>
        <w:t>2021</w:t>
      </w:r>
      <w:r>
        <w:rPr>
          <w:rFonts w:hint="eastAsia" w:ascii="仿宋" w:eastAsia="仿宋" w:cs="仿宋"/>
          <w:sz w:val="32"/>
          <w:szCs w:val="32"/>
        </w:rPr>
        <w:t>年，本部门支出合计</w:t>
      </w:r>
      <w:r>
        <w:rPr>
          <w:rFonts w:ascii="仿宋" w:eastAsia="仿宋" w:cs="仿宋"/>
          <w:sz w:val="28"/>
          <w:szCs w:val="28"/>
        </w:rPr>
        <w:t>22226</w:t>
      </w:r>
      <w:r>
        <w:rPr>
          <w:rFonts w:hint="eastAsia" w:ascii="仿宋" w:eastAsia="仿宋" w:cs="仿宋"/>
          <w:sz w:val="32"/>
          <w:szCs w:val="32"/>
        </w:rPr>
        <w:t>万元，比上年减少</w:t>
      </w:r>
      <w:r>
        <w:rPr>
          <w:rFonts w:ascii="仿宋" w:eastAsia="仿宋" w:cs="仿宋"/>
          <w:sz w:val="32"/>
          <w:szCs w:val="32"/>
        </w:rPr>
        <w:t>411</w:t>
      </w:r>
      <w:r>
        <w:rPr>
          <w:rFonts w:hint="eastAsia" w:ascii="仿宋" w:eastAsia="仿宋" w:cs="仿宋"/>
          <w:sz w:val="32"/>
          <w:szCs w:val="32"/>
        </w:rPr>
        <w:t>万元，增长</w:t>
      </w:r>
      <w:r>
        <w:rPr>
          <w:rFonts w:ascii="仿宋" w:eastAsia="仿宋" w:cs="仿宋"/>
          <w:sz w:val="28"/>
          <w:szCs w:val="28"/>
        </w:rPr>
        <w:t>-1.82</w:t>
      </w:r>
      <w:r>
        <w:rPr>
          <w:rFonts w:ascii="仿宋" w:eastAsia="仿宋" w:cs="仿宋"/>
          <w:sz w:val="32"/>
          <w:szCs w:val="32"/>
        </w:rPr>
        <w:t>%</w:t>
      </w:r>
      <w:r>
        <w:rPr>
          <w:rFonts w:hint="eastAsia" w:ascii="仿宋" w:eastAsia="仿宋" w:cs="仿宋"/>
          <w:sz w:val="32"/>
          <w:szCs w:val="32"/>
        </w:rPr>
        <w:t>；</w:t>
      </w:r>
      <w:r>
        <w:rPr>
          <w:rFonts w:hint="eastAsia" w:ascii="仿宋" w:eastAsia="仿宋" w:cs="仿宋"/>
          <w:sz w:val="32"/>
          <w:szCs w:val="32"/>
          <w:lang w:val="zh-CN"/>
        </w:rPr>
        <w:t>变化的主要原因</w:t>
      </w:r>
      <w:r>
        <w:rPr>
          <w:rFonts w:hint="eastAsia" w:ascii="仿宋" w:eastAsia="仿宋" w:cs="仿宋"/>
          <w:sz w:val="32"/>
          <w:szCs w:val="32"/>
        </w:rPr>
        <w:t>：</w:t>
      </w:r>
      <w:r>
        <w:rPr>
          <w:rFonts w:hint="eastAsia" w:ascii="仿宋" w:eastAsia="仿宋" w:cs="仿宋"/>
          <w:sz w:val="28"/>
          <w:szCs w:val="28"/>
        </w:rPr>
        <w:t>农业项目减少</w:t>
      </w:r>
      <w:r>
        <w:rPr>
          <w:rFonts w:hint="eastAsia" w:ascii="仿宋" w:eastAsia="仿宋" w:cs="仿宋"/>
          <w:sz w:val="32"/>
          <w:szCs w:val="32"/>
        </w:rPr>
        <w:t>。其中：基本支出完成</w:t>
      </w:r>
      <w:r>
        <w:rPr>
          <w:rFonts w:ascii="仿宋" w:eastAsia="仿宋" w:cs="仿宋"/>
          <w:sz w:val="28"/>
          <w:szCs w:val="28"/>
        </w:rPr>
        <w:t>2662</w:t>
      </w:r>
      <w:r>
        <w:rPr>
          <w:rFonts w:hint="eastAsia" w:ascii="仿宋" w:eastAsia="仿宋" w:cs="仿宋"/>
          <w:sz w:val="32"/>
          <w:szCs w:val="32"/>
        </w:rPr>
        <w:t>万元，比上年增加</w:t>
      </w:r>
      <w:r>
        <w:rPr>
          <w:rFonts w:ascii="仿宋" w:eastAsia="仿宋" w:cs="仿宋"/>
          <w:sz w:val="28"/>
          <w:szCs w:val="28"/>
        </w:rPr>
        <w:t>263</w:t>
      </w:r>
      <w:r>
        <w:rPr>
          <w:rFonts w:hint="eastAsia" w:ascii="仿宋" w:eastAsia="仿宋" w:cs="仿宋"/>
          <w:sz w:val="32"/>
          <w:szCs w:val="32"/>
        </w:rPr>
        <w:t>万元，增长</w:t>
      </w:r>
      <w:r>
        <w:rPr>
          <w:rFonts w:ascii="仿宋" w:eastAsia="仿宋" w:cs="仿宋"/>
          <w:sz w:val="28"/>
          <w:szCs w:val="28"/>
        </w:rPr>
        <w:t>10.98%</w:t>
      </w:r>
      <w:r>
        <w:rPr>
          <w:rFonts w:hint="eastAsia" w:ascii="仿宋" w:eastAsia="仿宋" w:cs="仿宋"/>
          <w:sz w:val="28"/>
          <w:szCs w:val="28"/>
        </w:rPr>
        <w:t>，</w:t>
      </w:r>
      <w:r>
        <w:rPr>
          <w:rFonts w:hint="eastAsia" w:ascii="仿宋" w:eastAsia="仿宋" w:cs="仿宋"/>
          <w:sz w:val="32"/>
          <w:szCs w:val="32"/>
          <w:lang w:val="zh-CN"/>
        </w:rPr>
        <w:t>变化的主要原因：</w:t>
      </w:r>
      <w:r>
        <w:rPr>
          <w:rFonts w:hint="eastAsia" w:ascii="仿宋" w:eastAsia="仿宋" w:cs="仿宋"/>
          <w:sz w:val="28"/>
          <w:szCs w:val="28"/>
        </w:rPr>
        <w:t>工资正常晋级，人员增加</w:t>
      </w:r>
      <w:r>
        <w:rPr>
          <w:rFonts w:hint="eastAsia" w:ascii="仿宋" w:eastAsia="仿宋" w:cs="仿宋"/>
          <w:sz w:val="32"/>
          <w:szCs w:val="32"/>
        </w:rPr>
        <w:t>。项目支出</w:t>
      </w:r>
      <w:r>
        <w:rPr>
          <w:rFonts w:ascii="仿宋" w:eastAsia="仿宋" w:cs="仿宋"/>
          <w:sz w:val="28"/>
          <w:szCs w:val="28"/>
        </w:rPr>
        <w:t>19564</w:t>
      </w:r>
      <w:r>
        <w:rPr>
          <w:rFonts w:hint="eastAsia" w:ascii="仿宋" w:eastAsia="仿宋" w:cs="仿宋"/>
          <w:sz w:val="32"/>
          <w:szCs w:val="32"/>
        </w:rPr>
        <w:t>万元，比上年减少</w:t>
      </w:r>
      <w:r>
        <w:rPr>
          <w:rFonts w:ascii="仿宋" w:eastAsia="仿宋" w:cs="仿宋"/>
          <w:sz w:val="32"/>
          <w:szCs w:val="32"/>
        </w:rPr>
        <w:t>674.9</w:t>
      </w:r>
      <w:r>
        <w:rPr>
          <w:rFonts w:hint="eastAsia" w:ascii="仿宋" w:eastAsia="仿宋" w:cs="仿宋"/>
          <w:sz w:val="32"/>
          <w:szCs w:val="32"/>
        </w:rPr>
        <w:t>万元，增长</w:t>
      </w:r>
      <w:r>
        <w:rPr>
          <w:rFonts w:ascii="仿宋" w:eastAsia="仿宋" w:cs="仿宋"/>
          <w:sz w:val="28"/>
          <w:szCs w:val="28"/>
        </w:rPr>
        <w:t>-3.33%</w:t>
      </w:r>
      <w:r>
        <w:rPr>
          <w:rFonts w:hint="eastAsia" w:ascii="仿宋" w:eastAsia="仿宋" w:cs="仿宋"/>
          <w:sz w:val="32"/>
          <w:szCs w:val="32"/>
        </w:rPr>
        <w:t>；</w:t>
      </w:r>
      <w:r>
        <w:rPr>
          <w:rFonts w:hint="eastAsia" w:ascii="仿宋" w:eastAsia="仿宋" w:cs="仿宋"/>
          <w:sz w:val="32"/>
          <w:szCs w:val="32"/>
          <w:lang w:val="zh-CN"/>
        </w:rPr>
        <w:t>变化的主要原因：</w:t>
      </w:r>
      <w:r>
        <w:rPr>
          <w:rFonts w:hint="eastAsia" w:ascii="仿宋" w:eastAsia="仿宋" w:cs="仿宋"/>
          <w:sz w:val="28"/>
          <w:szCs w:val="28"/>
        </w:rPr>
        <w:t>农业项目减少</w:t>
      </w:r>
      <w:r>
        <w:rPr>
          <w:rFonts w:hint="eastAsia" w:ascii="仿宋" w:eastAsia="仿宋" w:cs="仿宋"/>
          <w:sz w:val="32"/>
          <w:szCs w:val="32"/>
        </w:rPr>
        <w:t>。</w:t>
      </w:r>
      <w:r>
        <w:rPr>
          <w:rFonts w:hint="eastAsia" w:ascii="仿宋" w:eastAsia="仿宋" w:cs="仿宋"/>
          <w:sz w:val="32"/>
          <w:szCs w:val="32"/>
          <w:lang w:val="zh-CN"/>
        </w:rPr>
        <w:t>人员经费</w:t>
      </w:r>
      <w:r>
        <w:rPr>
          <w:rFonts w:hint="eastAsia" w:ascii="仿宋" w:eastAsia="仿宋" w:cs="仿宋"/>
          <w:sz w:val="32"/>
          <w:szCs w:val="32"/>
        </w:rPr>
        <w:t>完成</w:t>
      </w:r>
      <w:r>
        <w:rPr>
          <w:rFonts w:ascii="仿宋" w:eastAsia="仿宋" w:cs="仿宋"/>
          <w:sz w:val="28"/>
          <w:szCs w:val="28"/>
        </w:rPr>
        <w:t>2141</w:t>
      </w:r>
      <w:r>
        <w:rPr>
          <w:rFonts w:hint="eastAsia" w:ascii="仿宋" w:eastAsia="仿宋" w:cs="仿宋"/>
          <w:sz w:val="28"/>
          <w:szCs w:val="28"/>
        </w:rPr>
        <w:t>万</w:t>
      </w:r>
      <w:r>
        <w:rPr>
          <w:rFonts w:hint="eastAsia" w:ascii="仿宋" w:eastAsia="仿宋" w:cs="仿宋"/>
          <w:sz w:val="32"/>
          <w:szCs w:val="32"/>
        </w:rPr>
        <w:t>元，比上年增加</w:t>
      </w:r>
      <w:r>
        <w:rPr>
          <w:rFonts w:ascii="仿宋" w:eastAsia="仿宋" w:cs="仿宋"/>
          <w:sz w:val="28"/>
          <w:szCs w:val="28"/>
        </w:rPr>
        <w:t>192</w:t>
      </w:r>
      <w:r>
        <w:rPr>
          <w:rFonts w:hint="eastAsia" w:ascii="仿宋" w:eastAsia="仿宋" w:cs="仿宋"/>
          <w:sz w:val="32"/>
          <w:szCs w:val="32"/>
        </w:rPr>
        <w:t>万元，增长</w:t>
      </w:r>
      <w:r>
        <w:rPr>
          <w:rFonts w:ascii="仿宋" w:eastAsia="仿宋" w:cs="仿宋"/>
          <w:sz w:val="28"/>
          <w:szCs w:val="28"/>
        </w:rPr>
        <w:t>9.87%</w:t>
      </w:r>
      <w:r>
        <w:rPr>
          <w:rFonts w:hint="eastAsia" w:ascii="仿宋" w:eastAsia="仿宋" w:cs="仿宋"/>
          <w:sz w:val="28"/>
          <w:szCs w:val="28"/>
        </w:rPr>
        <w:t>，</w:t>
      </w:r>
      <w:r>
        <w:rPr>
          <w:rFonts w:hint="eastAsia" w:ascii="仿宋" w:eastAsia="仿宋" w:cs="仿宋"/>
          <w:sz w:val="32"/>
          <w:szCs w:val="32"/>
          <w:lang w:val="zh-CN"/>
        </w:rPr>
        <w:t>变化的主要原因：</w:t>
      </w:r>
      <w:r>
        <w:rPr>
          <w:rFonts w:hint="eastAsia" w:ascii="仿宋" w:eastAsia="仿宋" w:cs="仿宋"/>
          <w:sz w:val="28"/>
          <w:szCs w:val="28"/>
        </w:rPr>
        <w:t>工资正常晋级</w:t>
      </w:r>
      <w:r>
        <w:rPr>
          <w:rFonts w:hint="eastAsia" w:ascii="仿宋" w:eastAsia="仿宋" w:cs="仿宋"/>
          <w:sz w:val="32"/>
          <w:szCs w:val="32"/>
        </w:rPr>
        <w:t>；公用</w:t>
      </w:r>
      <w:r>
        <w:rPr>
          <w:rFonts w:hint="eastAsia" w:ascii="仿宋" w:eastAsia="仿宋" w:cs="仿宋"/>
          <w:sz w:val="32"/>
          <w:szCs w:val="32"/>
          <w:lang w:val="zh-CN"/>
        </w:rPr>
        <w:t>经费</w:t>
      </w:r>
      <w:r>
        <w:rPr>
          <w:rFonts w:hint="eastAsia" w:ascii="仿宋" w:eastAsia="仿宋" w:cs="仿宋"/>
          <w:sz w:val="32"/>
          <w:szCs w:val="32"/>
        </w:rPr>
        <w:t>完成</w:t>
      </w:r>
      <w:r>
        <w:rPr>
          <w:rFonts w:ascii="仿宋" w:eastAsia="仿宋" w:cs="仿宋"/>
          <w:sz w:val="28"/>
          <w:szCs w:val="28"/>
        </w:rPr>
        <w:t>520</w:t>
      </w:r>
      <w:r>
        <w:rPr>
          <w:rFonts w:hint="eastAsia" w:ascii="仿宋" w:eastAsia="仿宋" w:cs="仿宋"/>
          <w:sz w:val="32"/>
          <w:szCs w:val="32"/>
        </w:rPr>
        <w:t>万元，比上年增加</w:t>
      </w:r>
      <w:r>
        <w:rPr>
          <w:rFonts w:ascii="仿宋" w:eastAsia="仿宋" w:cs="仿宋"/>
          <w:sz w:val="28"/>
          <w:szCs w:val="28"/>
        </w:rPr>
        <w:t>71</w:t>
      </w:r>
      <w:r>
        <w:rPr>
          <w:rFonts w:hint="eastAsia" w:ascii="仿宋" w:eastAsia="仿宋" w:cs="仿宋"/>
          <w:sz w:val="32"/>
          <w:szCs w:val="32"/>
        </w:rPr>
        <w:t>万元，增长</w:t>
      </w:r>
      <w:r>
        <w:rPr>
          <w:rFonts w:ascii="仿宋" w:eastAsia="仿宋" w:cs="仿宋"/>
          <w:sz w:val="28"/>
          <w:szCs w:val="28"/>
        </w:rPr>
        <w:t>15.83%</w:t>
      </w:r>
      <w:r>
        <w:rPr>
          <w:rFonts w:hint="eastAsia" w:ascii="仿宋" w:eastAsia="仿宋" w:cs="仿宋"/>
          <w:sz w:val="28"/>
          <w:szCs w:val="28"/>
        </w:rPr>
        <w:t>，</w:t>
      </w:r>
      <w:r>
        <w:rPr>
          <w:rFonts w:hint="eastAsia" w:ascii="仿宋" w:eastAsia="仿宋" w:cs="仿宋"/>
          <w:sz w:val="32"/>
          <w:szCs w:val="32"/>
          <w:lang w:val="zh-CN"/>
        </w:rPr>
        <w:t>变化的主要原因：</w:t>
      </w:r>
      <w:r>
        <w:rPr>
          <w:rFonts w:hint="eastAsia" w:ascii="仿宋" w:eastAsia="仿宋" w:cs="仿宋"/>
          <w:sz w:val="28"/>
          <w:szCs w:val="28"/>
        </w:rPr>
        <w:t>农业中心工作增加费用加大</w:t>
      </w:r>
      <w:r>
        <w:rPr>
          <w:rFonts w:hint="eastAsia" w:ascii="仿宋" w:eastAsia="仿宋" w:cs="仿宋"/>
          <w:sz w:val="28"/>
          <w:szCs w:val="28"/>
          <w:lang w:val="zh-CN"/>
        </w:rPr>
        <w:t>。</w:t>
      </w:r>
    </w:p>
    <w:p>
      <w:pPr>
        <w:autoSpaceDE w:val="0"/>
        <w:autoSpaceDN w:val="0"/>
        <w:adjustRightInd w:val="0"/>
        <w:spacing w:line="520" w:lineRule="exact"/>
        <w:ind w:firstLine="643"/>
        <w:rPr>
          <w:rFonts w:ascii="楷体" w:hAnsi="楷体" w:eastAsia="楷体"/>
          <w:b/>
          <w:bCs/>
          <w:sz w:val="32"/>
          <w:szCs w:val="32"/>
        </w:rPr>
      </w:pPr>
      <w:r>
        <w:rPr>
          <w:rFonts w:ascii="楷体" w:hAnsi="楷体" w:eastAsia="楷体" w:cs="仿宋_GB2312"/>
          <w:b/>
          <w:bCs/>
          <w:sz w:val="32"/>
          <w:szCs w:val="32"/>
        </w:rPr>
        <w:t>1</w:t>
      </w:r>
      <w:r>
        <w:rPr>
          <w:rFonts w:hint="eastAsia" w:ascii="楷体" w:hAnsi="楷体" w:eastAsia="楷体" w:cs="仿宋_GB2312"/>
          <w:b/>
          <w:bCs/>
          <w:sz w:val="32"/>
          <w:szCs w:val="32"/>
        </w:rPr>
        <w:t>．按经济分类科目支出分析。</w:t>
      </w:r>
    </w:p>
    <w:p>
      <w:pPr>
        <w:ind w:firstLine="640" w:firstLineChars="200"/>
        <w:jc w:val="left"/>
        <w:rPr>
          <w:rFonts w:ascii="仿宋" w:hAnsi="仿宋" w:eastAsia="仿宋"/>
          <w:sz w:val="32"/>
          <w:szCs w:val="32"/>
        </w:rPr>
      </w:pPr>
      <w:r>
        <w:rPr>
          <w:rFonts w:hint="eastAsia" w:ascii="仿宋" w:eastAsia="仿宋" w:cs="仿宋"/>
          <w:sz w:val="32"/>
          <w:szCs w:val="32"/>
        </w:rPr>
        <w:t>（</w:t>
      </w:r>
      <w:r>
        <w:rPr>
          <w:rFonts w:ascii="仿宋" w:eastAsia="仿宋" w:cs="仿宋"/>
          <w:sz w:val="32"/>
          <w:szCs w:val="32"/>
        </w:rPr>
        <w:t>1</w:t>
      </w:r>
      <w:r>
        <w:rPr>
          <w:rFonts w:hint="eastAsia" w:ascii="仿宋" w:eastAsia="仿宋" w:cs="仿宋"/>
          <w:sz w:val="32"/>
          <w:szCs w:val="32"/>
        </w:rPr>
        <w:t>）</w:t>
      </w:r>
      <w:r>
        <w:rPr>
          <w:rFonts w:eastAsia="仿宋"/>
          <w:b/>
          <w:bCs/>
          <w:sz w:val="32"/>
          <w:szCs w:val="32"/>
        </w:rPr>
        <w:t>“</w:t>
      </w:r>
      <w:r>
        <w:rPr>
          <w:rFonts w:hint="eastAsia" w:ascii="仿宋" w:eastAsia="仿宋" w:cs="仿宋"/>
          <w:sz w:val="32"/>
          <w:szCs w:val="32"/>
        </w:rPr>
        <w:t>三公</w:t>
      </w:r>
      <w:r>
        <w:rPr>
          <w:rFonts w:eastAsia="仿宋"/>
          <w:b/>
          <w:bCs/>
          <w:sz w:val="32"/>
          <w:szCs w:val="32"/>
        </w:rPr>
        <w:t>”</w:t>
      </w:r>
      <w:r>
        <w:rPr>
          <w:rFonts w:hint="eastAsia" w:ascii="仿宋" w:eastAsia="仿宋" w:cs="仿宋"/>
          <w:sz w:val="32"/>
          <w:szCs w:val="32"/>
        </w:rPr>
        <w:t>经费支出情况：</w:t>
      </w:r>
      <w:r>
        <w:rPr>
          <w:rFonts w:ascii="仿宋" w:eastAsia="仿宋" w:cs="仿宋"/>
          <w:sz w:val="32"/>
          <w:szCs w:val="32"/>
        </w:rPr>
        <w:t>2021</w:t>
      </w:r>
      <w:r>
        <w:rPr>
          <w:rFonts w:hint="eastAsia" w:ascii="仿宋" w:eastAsia="仿宋" w:cs="仿宋"/>
          <w:sz w:val="32"/>
          <w:szCs w:val="32"/>
        </w:rPr>
        <w:t>年，</w:t>
      </w:r>
      <w:r>
        <w:rPr>
          <w:rFonts w:eastAsia="仿宋"/>
          <w:sz w:val="32"/>
          <w:szCs w:val="32"/>
        </w:rPr>
        <w:t>“</w:t>
      </w:r>
      <w:r>
        <w:rPr>
          <w:rFonts w:hint="eastAsia" w:ascii="仿宋" w:eastAsia="仿宋" w:cs="仿宋"/>
          <w:sz w:val="32"/>
          <w:szCs w:val="32"/>
        </w:rPr>
        <w:t>三公</w:t>
      </w:r>
      <w:r>
        <w:rPr>
          <w:rFonts w:eastAsia="仿宋"/>
          <w:sz w:val="32"/>
          <w:szCs w:val="32"/>
        </w:rPr>
        <w:t>”</w:t>
      </w:r>
      <w:r>
        <w:rPr>
          <w:rFonts w:hint="eastAsia" w:ascii="仿宋" w:eastAsia="仿宋" w:cs="仿宋"/>
          <w:sz w:val="32"/>
          <w:szCs w:val="32"/>
        </w:rPr>
        <w:t>经费完成</w:t>
      </w:r>
      <w:r>
        <w:rPr>
          <w:rFonts w:ascii="仿宋" w:eastAsia="仿宋" w:cs="仿宋"/>
          <w:sz w:val="32"/>
          <w:szCs w:val="32"/>
        </w:rPr>
        <w:t>18.56</w:t>
      </w:r>
      <w:r>
        <w:rPr>
          <w:rFonts w:hint="eastAsia" w:ascii="仿宋" w:eastAsia="仿宋" w:cs="仿宋"/>
          <w:sz w:val="32"/>
          <w:szCs w:val="32"/>
        </w:rPr>
        <w:t>万元，比上年减少</w:t>
      </w:r>
      <w:r>
        <w:rPr>
          <w:rFonts w:ascii="仿宋" w:eastAsia="仿宋" w:cs="仿宋"/>
          <w:sz w:val="32"/>
          <w:szCs w:val="32"/>
        </w:rPr>
        <w:t>0.4777</w:t>
      </w:r>
      <w:r>
        <w:rPr>
          <w:rFonts w:hint="eastAsia" w:ascii="仿宋" w:eastAsia="仿宋" w:cs="仿宋"/>
          <w:sz w:val="32"/>
          <w:szCs w:val="32"/>
        </w:rPr>
        <w:t>万元，下降</w:t>
      </w:r>
      <w:r>
        <w:rPr>
          <w:rFonts w:ascii="仿宋" w:eastAsia="仿宋" w:cs="仿宋"/>
          <w:sz w:val="32"/>
          <w:szCs w:val="32"/>
        </w:rPr>
        <w:t>2.51%</w:t>
      </w:r>
      <w:r>
        <w:rPr>
          <w:rFonts w:hint="eastAsia" w:ascii="仿宋" w:eastAsia="仿宋" w:cs="仿宋"/>
          <w:sz w:val="32"/>
          <w:szCs w:val="32"/>
        </w:rPr>
        <w:t>，增减变化的主要原因是：</w:t>
      </w:r>
      <w:r>
        <w:rPr>
          <w:rFonts w:hint="eastAsia" w:ascii="仿宋" w:eastAsia="仿宋" w:cs="仿宋"/>
          <w:sz w:val="32"/>
          <w:szCs w:val="32"/>
          <w:lang w:val="zh-CN"/>
        </w:rPr>
        <w:t>。其中：</w:t>
      </w:r>
      <w:r>
        <w:rPr>
          <w:rFonts w:hint="eastAsia" w:ascii="仿宋" w:eastAsia="仿宋" w:cs="仿宋"/>
          <w:b/>
          <w:bCs/>
          <w:sz w:val="32"/>
          <w:szCs w:val="32"/>
          <w:lang w:val="zh-CN"/>
        </w:rPr>
        <w:t>因公出国（境）费</w:t>
      </w:r>
      <w:r>
        <w:rPr>
          <w:rFonts w:hint="eastAsia" w:ascii="仿宋" w:eastAsia="仿宋" w:cs="仿宋"/>
          <w:sz w:val="32"/>
          <w:szCs w:val="32"/>
        </w:rPr>
        <w:t>完成</w:t>
      </w:r>
      <w:r>
        <w:rPr>
          <w:rFonts w:ascii="仿宋" w:eastAsia="仿宋" w:cs="仿宋"/>
          <w:sz w:val="32"/>
          <w:szCs w:val="32"/>
        </w:rPr>
        <w:t>0</w:t>
      </w:r>
      <w:r>
        <w:rPr>
          <w:rFonts w:hint="eastAsia" w:ascii="仿宋" w:eastAsia="仿宋" w:cs="仿宋"/>
          <w:sz w:val="32"/>
          <w:szCs w:val="32"/>
        </w:rPr>
        <w:t>元</w:t>
      </w:r>
      <w:r>
        <w:rPr>
          <w:rFonts w:ascii="仿宋" w:eastAsia="仿宋" w:cs="仿宋"/>
          <w:sz w:val="32"/>
          <w:szCs w:val="32"/>
        </w:rPr>
        <w:t>;</w:t>
      </w:r>
      <w:r>
        <w:rPr>
          <w:rFonts w:hint="eastAsia" w:ascii="仿宋" w:eastAsia="仿宋" w:cs="仿宋"/>
          <w:b/>
          <w:bCs/>
          <w:sz w:val="32"/>
          <w:szCs w:val="32"/>
          <w:lang w:val="zh-CN"/>
        </w:rPr>
        <w:t>公务接待费</w:t>
      </w:r>
      <w:r>
        <w:rPr>
          <w:rFonts w:hint="eastAsia" w:ascii="仿宋" w:eastAsia="仿宋" w:cs="仿宋"/>
          <w:sz w:val="32"/>
          <w:szCs w:val="32"/>
        </w:rPr>
        <w:t>完成</w:t>
      </w:r>
      <w:r>
        <w:rPr>
          <w:rFonts w:ascii="仿宋" w:eastAsia="仿宋" w:cs="仿宋"/>
          <w:sz w:val="32"/>
          <w:szCs w:val="32"/>
        </w:rPr>
        <w:t>18.56</w:t>
      </w:r>
      <w:r>
        <w:rPr>
          <w:rFonts w:hint="eastAsia" w:ascii="仿宋" w:eastAsia="仿宋" w:cs="仿宋"/>
          <w:sz w:val="32"/>
          <w:szCs w:val="32"/>
        </w:rPr>
        <w:t>万元，比上年减少</w:t>
      </w:r>
      <w:r>
        <w:rPr>
          <w:rFonts w:ascii="仿宋" w:eastAsia="仿宋" w:cs="仿宋"/>
          <w:sz w:val="32"/>
          <w:szCs w:val="32"/>
        </w:rPr>
        <w:t>0.4777</w:t>
      </w:r>
      <w:r>
        <w:rPr>
          <w:rFonts w:hint="eastAsia" w:ascii="仿宋" w:eastAsia="仿宋" w:cs="仿宋"/>
          <w:sz w:val="32"/>
          <w:szCs w:val="32"/>
        </w:rPr>
        <w:t>元，下降</w:t>
      </w:r>
      <w:r>
        <w:rPr>
          <w:rFonts w:ascii="仿宋" w:eastAsia="仿宋" w:cs="仿宋"/>
          <w:sz w:val="32"/>
          <w:szCs w:val="32"/>
        </w:rPr>
        <w:t>2.51%</w:t>
      </w:r>
      <w:r>
        <w:rPr>
          <w:rFonts w:hint="eastAsia" w:ascii="仿宋" w:eastAsia="仿宋" w:cs="仿宋"/>
          <w:sz w:val="32"/>
          <w:szCs w:val="32"/>
        </w:rPr>
        <w:t>，减少的主要原因是：认真贯彻落实中央</w:t>
      </w:r>
      <w:r>
        <w:rPr>
          <w:rFonts w:ascii="仿宋" w:eastAsia="仿宋" w:cs="仿宋"/>
          <w:sz w:val="32"/>
          <w:szCs w:val="32"/>
        </w:rPr>
        <w:t>“</w:t>
      </w:r>
      <w:r>
        <w:rPr>
          <w:rFonts w:hint="eastAsia" w:ascii="仿宋" w:eastAsia="仿宋" w:cs="仿宋"/>
          <w:sz w:val="32"/>
          <w:szCs w:val="32"/>
        </w:rPr>
        <w:t>八项规定</w:t>
      </w:r>
      <w:r>
        <w:rPr>
          <w:rFonts w:ascii="仿宋" w:eastAsia="仿宋" w:cs="仿宋"/>
          <w:sz w:val="32"/>
          <w:szCs w:val="32"/>
        </w:rPr>
        <w:t>”</w:t>
      </w:r>
      <w:r>
        <w:rPr>
          <w:rFonts w:hint="eastAsia" w:ascii="仿宋" w:eastAsia="仿宋" w:cs="仿宋"/>
          <w:sz w:val="32"/>
          <w:szCs w:val="32"/>
        </w:rPr>
        <w:t>精神和厉行节约要求，从严控制</w:t>
      </w:r>
      <w:r>
        <w:rPr>
          <w:rFonts w:ascii="仿宋" w:eastAsia="仿宋" w:cs="仿宋"/>
          <w:sz w:val="32"/>
          <w:szCs w:val="32"/>
        </w:rPr>
        <w:t>“</w:t>
      </w:r>
      <w:r>
        <w:rPr>
          <w:rFonts w:hint="eastAsia" w:ascii="仿宋" w:eastAsia="仿宋" w:cs="仿宋"/>
          <w:sz w:val="32"/>
          <w:szCs w:val="32"/>
        </w:rPr>
        <w:t>三公</w:t>
      </w:r>
      <w:r>
        <w:rPr>
          <w:rFonts w:ascii="仿宋" w:eastAsia="仿宋" w:cs="仿宋"/>
          <w:sz w:val="32"/>
          <w:szCs w:val="32"/>
        </w:rPr>
        <w:t>”</w:t>
      </w:r>
      <w:r>
        <w:rPr>
          <w:rFonts w:hint="eastAsia" w:ascii="仿宋" w:eastAsia="仿宋" w:cs="仿宋"/>
          <w:sz w:val="32"/>
          <w:szCs w:val="32"/>
        </w:rPr>
        <w:t>经费开支</w:t>
      </w:r>
      <w:r>
        <w:rPr>
          <w:rFonts w:ascii="仿宋" w:hAnsi="仿宋" w:eastAsia="仿宋"/>
          <w:sz w:val="32"/>
          <w:szCs w:val="32"/>
        </w:rPr>
        <w:t>;</w:t>
      </w:r>
      <w:r>
        <w:rPr>
          <w:rFonts w:hint="eastAsia" w:ascii="仿宋" w:eastAsia="仿宋" w:cs="仿宋"/>
          <w:b/>
          <w:bCs/>
          <w:sz w:val="32"/>
          <w:szCs w:val="32"/>
          <w:lang w:val="zh-CN"/>
        </w:rPr>
        <w:t>公务用车购置及运行维护费</w:t>
      </w:r>
      <w:r>
        <w:rPr>
          <w:rFonts w:hint="eastAsia" w:ascii="仿宋" w:eastAsia="仿宋" w:cs="仿宋"/>
          <w:sz w:val="32"/>
          <w:szCs w:val="32"/>
        </w:rPr>
        <w:t>完成</w:t>
      </w:r>
      <w:r>
        <w:rPr>
          <w:rFonts w:ascii="仿宋" w:eastAsia="仿宋" w:cs="仿宋"/>
          <w:sz w:val="32"/>
          <w:szCs w:val="32"/>
        </w:rPr>
        <w:t>0</w:t>
      </w:r>
      <w:r>
        <w:rPr>
          <w:rFonts w:hint="eastAsia" w:ascii="仿宋" w:eastAsia="仿宋" w:cs="仿宋"/>
          <w:sz w:val="32"/>
          <w:szCs w:val="32"/>
        </w:rPr>
        <w:t>元。</w:t>
      </w:r>
    </w:p>
    <w:p>
      <w:pPr>
        <w:autoSpaceDE w:val="0"/>
        <w:autoSpaceDN w:val="0"/>
        <w:adjustRightInd w:val="0"/>
        <w:spacing w:line="520" w:lineRule="exact"/>
        <w:ind w:firstLine="640"/>
        <w:rPr>
          <w:rFonts w:hint="eastAsia" w:ascii="仿宋" w:eastAsia="仿宋" w:cs="仿宋"/>
          <w:sz w:val="32"/>
          <w:szCs w:val="32"/>
        </w:rPr>
      </w:pPr>
      <w:r>
        <w:rPr>
          <w:rFonts w:hint="eastAsia" w:ascii="仿宋" w:eastAsia="仿宋" w:cs="仿宋"/>
          <w:sz w:val="32"/>
          <w:szCs w:val="32"/>
        </w:rPr>
        <w:t>（</w:t>
      </w:r>
      <w:r>
        <w:rPr>
          <w:rFonts w:ascii="仿宋" w:eastAsia="仿宋" w:cs="仿宋"/>
          <w:sz w:val="32"/>
          <w:szCs w:val="32"/>
        </w:rPr>
        <w:t>2</w:t>
      </w:r>
      <w:r>
        <w:rPr>
          <w:rFonts w:hint="eastAsia" w:ascii="仿宋" w:eastAsia="仿宋" w:cs="仿宋"/>
          <w:sz w:val="32"/>
          <w:szCs w:val="32"/>
        </w:rPr>
        <w:t>）会议费支出情况：2021</w:t>
      </w:r>
      <w:r>
        <w:rPr>
          <w:rFonts w:hint="eastAsia" w:ascii="仿宋" w:eastAsia="仿宋" w:cs="仿宋"/>
          <w:sz w:val="32"/>
          <w:szCs w:val="32"/>
        </w:rPr>
        <w:t>年会议费完成22.483万</w:t>
      </w:r>
      <w:r>
        <w:rPr>
          <w:rFonts w:hint="eastAsia" w:ascii="仿宋" w:eastAsia="仿宋" w:cs="仿宋"/>
          <w:sz w:val="32"/>
          <w:szCs w:val="32"/>
        </w:rPr>
        <w:t>元，比上年增加3.5756</w:t>
      </w:r>
      <w:r>
        <w:rPr>
          <w:rFonts w:hint="eastAsia" w:ascii="仿宋" w:eastAsia="仿宋" w:cs="仿宋"/>
          <w:sz w:val="32"/>
          <w:szCs w:val="32"/>
        </w:rPr>
        <w:t>元，增加18.91%，增减变化的主要原因是：农业中心工作增加</w:t>
      </w:r>
      <w:r>
        <w:rPr>
          <w:rFonts w:hint="eastAsia" w:ascii="仿宋" w:eastAsia="仿宋" w:cs="仿宋"/>
          <w:sz w:val="32"/>
          <w:szCs w:val="32"/>
          <w:lang w:val="zh-CN"/>
        </w:rPr>
        <w:t>。</w:t>
      </w:r>
    </w:p>
    <w:p>
      <w:pPr>
        <w:autoSpaceDE w:val="0"/>
        <w:autoSpaceDN w:val="0"/>
        <w:adjustRightInd w:val="0"/>
        <w:spacing w:line="520" w:lineRule="exact"/>
        <w:ind w:firstLine="640"/>
        <w:rPr>
          <w:rFonts w:hint="eastAsia" w:ascii="仿宋" w:eastAsia="仿宋" w:cs="仿宋"/>
          <w:sz w:val="32"/>
          <w:szCs w:val="32"/>
          <w:lang w:val="zh-CN"/>
        </w:rPr>
      </w:pPr>
      <w:r>
        <w:rPr>
          <w:rFonts w:hint="eastAsia" w:ascii="仿宋" w:eastAsia="仿宋" w:cs="仿宋"/>
          <w:sz w:val="32"/>
          <w:szCs w:val="32"/>
        </w:rPr>
        <w:t>（</w:t>
      </w:r>
      <w:r>
        <w:rPr>
          <w:rFonts w:ascii="仿宋" w:eastAsia="仿宋" w:cs="仿宋"/>
          <w:sz w:val="32"/>
          <w:szCs w:val="32"/>
        </w:rPr>
        <w:t>3</w:t>
      </w:r>
      <w:r>
        <w:rPr>
          <w:rFonts w:hint="eastAsia" w:ascii="仿宋" w:eastAsia="仿宋" w:cs="仿宋"/>
          <w:sz w:val="32"/>
          <w:szCs w:val="32"/>
        </w:rPr>
        <w:t>）培训费支出情况：</w:t>
      </w:r>
      <w:r>
        <w:rPr>
          <w:rFonts w:ascii="仿宋" w:eastAsia="仿宋" w:cs="仿宋"/>
          <w:sz w:val="32"/>
          <w:szCs w:val="32"/>
        </w:rPr>
        <w:t>2</w:t>
      </w:r>
      <w:r>
        <w:rPr>
          <w:rFonts w:hint="eastAsia" w:ascii="仿宋" w:eastAsia="仿宋" w:cs="仿宋"/>
          <w:sz w:val="32"/>
          <w:szCs w:val="32"/>
        </w:rPr>
        <w:t>021</w:t>
      </w:r>
      <w:r>
        <w:rPr>
          <w:rFonts w:hint="eastAsia" w:ascii="仿宋" w:eastAsia="仿宋" w:cs="仿宋"/>
          <w:sz w:val="32"/>
          <w:szCs w:val="32"/>
        </w:rPr>
        <w:t>年培训费完成119.1947</w:t>
      </w:r>
      <w:r>
        <w:rPr>
          <w:rFonts w:hint="eastAsia" w:ascii="仿宋" w:eastAsia="仿宋" w:cs="仿宋"/>
          <w:sz w:val="32"/>
          <w:szCs w:val="32"/>
        </w:rPr>
        <w:t>元，比上年减少3.7421</w:t>
      </w:r>
      <w:r>
        <w:rPr>
          <w:rFonts w:hint="eastAsia" w:ascii="仿宋" w:eastAsia="仿宋" w:cs="仿宋"/>
          <w:sz w:val="32"/>
          <w:szCs w:val="32"/>
        </w:rPr>
        <w:t>元，增加-3.04%，增减变化的主要原因是：新型职业农民培育及农技推广体系建设培训在2022年实施</w:t>
      </w:r>
      <w:r>
        <w:rPr>
          <w:rFonts w:hint="eastAsia" w:ascii="仿宋" w:eastAsia="仿宋" w:cs="仿宋"/>
          <w:sz w:val="32"/>
          <w:szCs w:val="32"/>
          <w:lang w:val="zh-CN"/>
        </w:rPr>
        <w:t>。</w:t>
      </w:r>
    </w:p>
    <w:p>
      <w:pPr>
        <w:autoSpaceDE w:val="0"/>
        <w:autoSpaceDN w:val="0"/>
        <w:adjustRightInd w:val="0"/>
        <w:spacing w:line="520" w:lineRule="exact"/>
        <w:ind w:firstLine="640"/>
        <w:rPr>
          <w:rFonts w:ascii="仿宋" w:eastAsia="仿宋" w:cs="仿宋"/>
          <w:sz w:val="32"/>
          <w:szCs w:val="32"/>
        </w:rPr>
      </w:pPr>
      <w:r>
        <w:rPr>
          <w:rFonts w:ascii="仿宋" w:eastAsia="仿宋" w:cs="仿宋"/>
          <w:sz w:val="32"/>
          <w:szCs w:val="32"/>
        </w:rPr>
        <w:t>(4)</w:t>
      </w:r>
      <w:r>
        <w:rPr>
          <w:rFonts w:hint="eastAsia" w:ascii="仿宋" w:eastAsia="仿宋" w:cs="仿宋"/>
          <w:sz w:val="32"/>
          <w:szCs w:val="32"/>
        </w:rPr>
        <w:t>国有资产占用使用情况</w:t>
      </w:r>
    </w:p>
    <w:p>
      <w:pPr>
        <w:autoSpaceDE w:val="0"/>
        <w:autoSpaceDN w:val="0"/>
        <w:adjustRightInd w:val="0"/>
        <w:spacing w:line="520" w:lineRule="exact"/>
        <w:ind w:firstLine="640"/>
        <w:rPr>
          <w:rFonts w:ascii="仿宋" w:eastAsia="仿宋" w:cs="仿宋"/>
          <w:sz w:val="32"/>
          <w:szCs w:val="32"/>
        </w:rPr>
      </w:pPr>
      <w:r>
        <w:rPr>
          <w:rFonts w:hint="eastAsia" w:ascii="仿宋" w:eastAsia="仿宋" w:cs="仿宋"/>
          <w:sz w:val="32"/>
          <w:szCs w:val="32"/>
        </w:rPr>
        <w:t>截止</w:t>
      </w:r>
      <w:r>
        <w:rPr>
          <w:rFonts w:ascii="仿宋" w:eastAsia="仿宋" w:cs="仿宋"/>
          <w:sz w:val="32"/>
          <w:szCs w:val="32"/>
        </w:rPr>
        <w:t>2021</w:t>
      </w:r>
      <w:r>
        <w:rPr>
          <w:rFonts w:hint="eastAsia" w:ascii="仿宋" w:eastAsia="仿宋" w:cs="仿宋"/>
          <w:sz w:val="32"/>
          <w:szCs w:val="32"/>
        </w:rPr>
        <w:t>年</w:t>
      </w:r>
      <w:r>
        <w:rPr>
          <w:rFonts w:ascii="仿宋" w:eastAsia="仿宋" w:cs="仿宋"/>
          <w:sz w:val="32"/>
          <w:szCs w:val="32"/>
        </w:rPr>
        <w:t>12</w:t>
      </w:r>
      <w:r>
        <w:rPr>
          <w:rFonts w:hint="eastAsia" w:ascii="仿宋" w:eastAsia="仿宋" w:cs="仿宋"/>
          <w:sz w:val="32"/>
          <w:szCs w:val="32"/>
        </w:rPr>
        <w:t>月</w:t>
      </w:r>
      <w:r>
        <w:rPr>
          <w:rFonts w:ascii="仿宋" w:eastAsia="仿宋" w:cs="仿宋"/>
          <w:sz w:val="32"/>
          <w:szCs w:val="32"/>
        </w:rPr>
        <w:t>30</w:t>
      </w:r>
      <w:r>
        <w:rPr>
          <w:rFonts w:hint="eastAsia" w:ascii="仿宋" w:eastAsia="仿宋" w:cs="仿宋"/>
          <w:sz w:val="32"/>
          <w:szCs w:val="32"/>
        </w:rPr>
        <w:t>日，我单位共有固定资产原值</w:t>
      </w:r>
      <w:r>
        <w:rPr>
          <w:rFonts w:ascii="仿宋" w:eastAsia="仿宋" w:cs="仿宋"/>
          <w:sz w:val="32"/>
          <w:szCs w:val="32"/>
        </w:rPr>
        <w:t>897.87</w:t>
      </w:r>
      <w:r>
        <w:rPr>
          <w:rFonts w:hint="eastAsia" w:ascii="仿宋" w:eastAsia="仿宋" w:cs="仿宋"/>
          <w:sz w:val="32"/>
          <w:szCs w:val="32"/>
        </w:rPr>
        <w:t>万元，累计折旧值</w:t>
      </w:r>
      <w:r>
        <w:rPr>
          <w:rFonts w:ascii="仿宋" w:eastAsia="仿宋" w:cs="仿宋"/>
          <w:sz w:val="32"/>
          <w:szCs w:val="32"/>
        </w:rPr>
        <w:t>294.46</w:t>
      </w:r>
      <w:r>
        <w:rPr>
          <w:rFonts w:hint="eastAsia" w:ascii="仿宋" w:eastAsia="仿宋" w:cs="仿宋"/>
          <w:sz w:val="32"/>
          <w:szCs w:val="32"/>
        </w:rPr>
        <w:t>万元，资产净值为</w:t>
      </w:r>
      <w:r>
        <w:rPr>
          <w:rFonts w:ascii="仿宋" w:eastAsia="仿宋" w:cs="仿宋"/>
          <w:sz w:val="32"/>
          <w:szCs w:val="32"/>
        </w:rPr>
        <w:t>603.41</w:t>
      </w:r>
      <w:r>
        <w:rPr>
          <w:rFonts w:hint="eastAsia" w:ascii="仿宋" w:eastAsia="仿宋" w:cs="仿宋"/>
          <w:sz w:val="32"/>
          <w:szCs w:val="32"/>
        </w:rPr>
        <w:t>万元。</w:t>
      </w:r>
    </w:p>
    <w:p>
      <w:pPr>
        <w:widowControl/>
        <w:shd w:val="clear" w:color="auto" w:fill="FFFFFF"/>
        <w:spacing w:line="56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（三）年末结转和结余情况。</w:t>
      </w:r>
      <w:bookmarkStart w:id="3" w:name="_GoBack"/>
      <w:bookmarkEnd w:id="3"/>
    </w:p>
    <w:p>
      <w:pPr>
        <w:autoSpaceDE w:val="0"/>
        <w:autoSpaceDN w:val="0"/>
        <w:adjustRightInd w:val="0"/>
        <w:spacing w:line="520" w:lineRule="exact"/>
        <w:ind w:firstLine="643"/>
        <w:rPr>
          <w:rFonts w:hint="eastAsia" w:ascii="仿宋" w:eastAsia="仿宋" w:cs="仿宋"/>
          <w:sz w:val="32"/>
          <w:szCs w:val="32"/>
        </w:rPr>
      </w:pPr>
      <w:r>
        <w:rPr>
          <w:rFonts w:ascii="仿宋" w:eastAsia="仿宋" w:cs="仿宋"/>
          <w:sz w:val="32"/>
          <w:szCs w:val="32"/>
        </w:rPr>
        <w:t>2021</w:t>
      </w:r>
      <w:r>
        <w:rPr>
          <w:rFonts w:hint="eastAsia" w:ascii="仿宋" w:eastAsia="仿宋" w:cs="仿宋"/>
          <w:sz w:val="32"/>
          <w:szCs w:val="32"/>
        </w:rPr>
        <w:t>年，本单位年末结转和结余资金</w:t>
      </w:r>
      <w:r>
        <w:rPr>
          <w:rFonts w:ascii="仿宋" w:eastAsia="仿宋" w:cs="仿宋"/>
          <w:sz w:val="28"/>
          <w:szCs w:val="28"/>
        </w:rPr>
        <w:t>0</w:t>
      </w:r>
      <w:r>
        <w:rPr>
          <w:rFonts w:hint="eastAsia" w:ascii="仿宋" w:eastAsia="仿宋" w:cs="仿宋"/>
          <w:sz w:val="32"/>
          <w:szCs w:val="32"/>
        </w:rPr>
        <w:t>元，比上年减少3310.72万</w:t>
      </w:r>
      <w:r>
        <w:rPr>
          <w:rFonts w:hint="eastAsia" w:ascii="仿宋" w:eastAsia="仿宋" w:cs="仿宋"/>
          <w:sz w:val="32"/>
          <w:szCs w:val="32"/>
        </w:rPr>
        <w:t>元，下降100%，减少变化的主要原因是：去年项目预算拨款未来得及支付，列在今年</w:t>
      </w:r>
      <w:r>
        <w:rPr>
          <w:rFonts w:hint="eastAsia" w:ascii="仿宋" w:eastAsia="仿宋" w:cs="仿宋"/>
          <w:sz w:val="32"/>
          <w:szCs w:val="32"/>
          <w:lang w:val="zh-CN"/>
        </w:rPr>
        <w:t>。</w:t>
      </w:r>
    </w:p>
    <w:p>
      <w:pPr>
        <w:snapToGrid w:val="0"/>
        <w:spacing w:line="560" w:lineRule="exact"/>
        <w:ind w:firstLine="640" w:firstLineChars="200"/>
        <w:rPr>
          <w:rFonts w:ascii="楷体" w:hAnsi="楷体" w:eastAsia="楷体" w:cs="楷体"/>
          <w:b/>
          <w:bCs/>
          <w:sz w:val="32"/>
          <w:szCs w:val="32"/>
        </w:rPr>
      </w:pPr>
      <w:r>
        <w:rPr>
          <w:rFonts w:ascii="楷体" w:hAnsi="楷体" w:eastAsia="楷体" w:cs="楷体"/>
          <w:b/>
          <w:bCs/>
          <w:sz w:val="32"/>
          <w:szCs w:val="32"/>
        </w:rPr>
        <w:t>(</w:t>
      </w:r>
      <w:r>
        <w:rPr>
          <w:rFonts w:hint="eastAsia" w:ascii="楷体" w:hAnsi="楷体" w:eastAsia="楷体" w:cs="楷体"/>
          <w:b/>
          <w:bCs/>
          <w:sz w:val="32"/>
          <w:szCs w:val="32"/>
        </w:rPr>
        <w:t>四</w:t>
      </w:r>
      <w:r>
        <w:rPr>
          <w:rFonts w:ascii="楷体" w:hAnsi="楷体" w:eastAsia="楷体" w:cs="楷体"/>
          <w:b/>
          <w:bCs/>
          <w:sz w:val="32"/>
          <w:szCs w:val="32"/>
        </w:rPr>
        <w:t>)</w:t>
      </w:r>
      <w:r>
        <w:rPr>
          <w:rFonts w:hint="eastAsia" w:ascii="楷体" w:hAnsi="楷体" w:eastAsia="楷体" w:cs="楷体"/>
          <w:b/>
          <w:bCs/>
          <w:sz w:val="32"/>
          <w:szCs w:val="32"/>
        </w:rPr>
        <w:t>专项支出的管理和使用情况</w:t>
      </w:r>
    </w:p>
    <w:p>
      <w:pPr>
        <w:spacing w:line="560" w:lineRule="exact"/>
        <w:ind w:firstLine="579" w:firstLineChars="181"/>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、专项资金到位情况分析</w:t>
      </w:r>
    </w:p>
    <w:p>
      <w:pPr>
        <w:spacing w:line="560" w:lineRule="exact"/>
        <w:ind w:firstLine="579" w:firstLineChars="181"/>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年市财政预算安排农业市级专项经费</w:t>
      </w:r>
      <w:r>
        <w:rPr>
          <w:rFonts w:ascii="仿宋" w:hAnsi="仿宋" w:eastAsia="仿宋" w:cs="仿宋"/>
          <w:sz w:val="32"/>
          <w:szCs w:val="32"/>
        </w:rPr>
        <w:t>126</w:t>
      </w:r>
      <w:r>
        <w:rPr>
          <w:rFonts w:hint="eastAsia" w:ascii="仿宋" w:hAnsi="仿宋" w:eastAsia="仿宋" w:cs="仿宋"/>
          <w:sz w:val="32"/>
          <w:szCs w:val="32"/>
        </w:rPr>
        <w:t>万元，</w:t>
      </w:r>
      <w:r>
        <w:rPr>
          <w:rFonts w:ascii="仿宋" w:hAnsi="仿宋" w:eastAsia="仿宋" w:cs="仿宋"/>
          <w:sz w:val="32"/>
          <w:szCs w:val="32"/>
        </w:rPr>
        <w:t>126</w:t>
      </w:r>
      <w:r>
        <w:rPr>
          <w:rFonts w:hint="eastAsia" w:ascii="仿宋" w:hAnsi="仿宋" w:eastAsia="仿宋" w:cs="仿宋"/>
          <w:sz w:val="32"/>
          <w:szCs w:val="32"/>
        </w:rPr>
        <w:t>万元全部拨付到位。</w:t>
      </w:r>
    </w:p>
    <w:p>
      <w:pPr>
        <w:spacing w:line="560" w:lineRule="exact"/>
        <w:ind w:firstLine="579" w:firstLineChars="181"/>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、项目资金管理情况</w:t>
      </w:r>
    </w:p>
    <w:p>
      <w:pPr>
        <w:spacing w:line="560" w:lineRule="exact"/>
        <w:ind w:firstLine="579" w:firstLineChars="181"/>
        <w:rPr>
          <w:rFonts w:ascii="仿宋" w:hAnsi="仿宋" w:eastAsia="仿宋" w:cs="仿宋"/>
          <w:sz w:val="32"/>
          <w:szCs w:val="32"/>
        </w:rPr>
      </w:pPr>
      <w:r>
        <w:rPr>
          <w:rFonts w:hint="eastAsia" w:ascii="仿宋" w:hAnsi="仿宋" w:eastAsia="仿宋" w:cs="仿宋"/>
          <w:sz w:val="32"/>
          <w:szCs w:val="32"/>
        </w:rPr>
        <w:t>我局财务制度健全，管理规范，帐务处理及时，会计核算规范。专项资金严格按照国家规定的相关法律、法规的规定和要求使用，确保了资金的专款专用。</w:t>
      </w:r>
    </w:p>
    <w:p>
      <w:pPr>
        <w:spacing w:line="560" w:lineRule="exact"/>
        <w:ind w:firstLine="579" w:firstLineChars="181"/>
        <w:rPr>
          <w:rFonts w:ascii="楷体" w:hAnsi="楷体" w:eastAsia="楷体" w:cs="楷体"/>
          <w:b/>
          <w:bCs/>
          <w:sz w:val="32"/>
          <w:szCs w:val="32"/>
        </w:rPr>
      </w:pPr>
      <w:r>
        <w:rPr>
          <w:rFonts w:hint="eastAsia" w:ascii="楷体" w:hAnsi="楷体" w:eastAsia="楷体" w:cs="楷体"/>
          <w:b/>
          <w:bCs/>
          <w:sz w:val="32"/>
          <w:szCs w:val="32"/>
        </w:rPr>
        <w:t>（五）项目实施情况</w:t>
      </w:r>
    </w:p>
    <w:p>
      <w:pPr>
        <w:spacing w:line="560" w:lineRule="exact"/>
        <w:ind w:firstLine="579" w:firstLineChars="181"/>
        <w:rPr>
          <w:rFonts w:ascii="仿宋" w:hAnsi="仿宋" w:eastAsia="仿宋" w:cs="仿宋"/>
          <w:sz w:val="32"/>
          <w:szCs w:val="32"/>
        </w:rPr>
      </w:pPr>
      <w:r>
        <w:rPr>
          <w:rFonts w:hint="eastAsia" w:ascii="仿宋" w:hAnsi="仿宋" w:eastAsia="仿宋" w:cs="仿宋"/>
          <w:sz w:val="32"/>
          <w:szCs w:val="32"/>
        </w:rPr>
        <w:t>在专项资金使用上，我们严格按照财政预算内容和有关要求，将资金用在农业行政执法、招商引资立项争资、美丽乡村建设、三品一标、农村清洁工程、农产品质量安全、粮食生产、种子贮备、蔬菜检测检验、农博会参展、农药监管管理的工作衔接上。使用过程中，按国库集中支付的要求，完善了报帐手续，做到资金使用合规，审批手续到位，资料符合要求，根据局专项资金管理制度，严格资金监管确保项目资金落到实处。</w:t>
      </w:r>
    </w:p>
    <w:p>
      <w:pPr>
        <w:widowControl/>
        <w:shd w:val="clear" w:color="auto" w:fill="FFFFFF"/>
        <w:contextualSpacing/>
        <w:jc w:val="left"/>
        <w:rPr>
          <w:rFonts w:ascii="黑体" w:hAnsi="黑体" w:eastAsia="黑体" w:cs="方正黑体简体"/>
          <w:b/>
          <w:bCs/>
          <w:color w:val="000000"/>
          <w:kern w:val="0"/>
          <w:sz w:val="32"/>
          <w:szCs w:val="32"/>
          <w:shd w:val="clear" w:color="auto" w:fill="FFFFFF"/>
        </w:rPr>
      </w:pPr>
      <w:r>
        <w:rPr>
          <w:rFonts w:hint="eastAsia" w:ascii="黑体" w:hAnsi="黑体" w:eastAsia="黑体" w:cs="方正黑体简体"/>
          <w:b/>
          <w:bCs/>
          <w:color w:val="000000"/>
          <w:kern w:val="0"/>
          <w:sz w:val="32"/>
          <w:szCs w:val="32"/>
          <w:shd w:val="clear" w:color="auto" w:fill="FFFFFF"/>
        </w:rPr>
        <w:t>三、部门整体支出情况分析</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从整体情况来看，我局严格按照年初预算进行部门整体支出。在支出过程中，能严格遵守各项规章制度，“三公经费”明显下降。所有项目都详细制定了方案，严格按方案组织实施，并加强了监督。尤其是在专项经费支出上，我们能专款专用，按项目实施计划的进度情况进行资金拨付，无截留、无挪用等现象。完成了市委市政府确定的农业各项目标任务。实行了先有预算、后有执行、“用钱必问效、无效必问责”的新常态。</w:t>
      </w:r>
    </w:p>
    <w:p>
      <w:pPr>
        <w:widowControl/>
        <w:shd w:val="clear" w:color="auto" w:fill="FFFFFF"/>
        <w:contextualSpacing/>
        <w:jc w:val="left"/>
        <w:rPr>
          <w:rFonts w:ascii="黑体" w:hAnsi="黑体" w:eastAsia="黑体" w:cs="方正黑体简体"/>
          <w:b/>
          <w:bCs/>
          <w:color w:val="000000"/>
          <w:kern w:val="0"/>
          <w:sz w:val="32"/>
          <w:szCs w:val="32"/>
          <w:shd w:val="clear" w:color="auto" w:fill="FFFFFF"/>
        </w:rPr>
      </w:pPr>
      <w:r>
        <w:rPr>
          <w:rFonts w:hint="eastAsia" w:ascii="黑体" w:hAnsi="黑体" w:eastAsia="黑体" w:cs="方正黑体简体"/>
          <w:b/>
          <w:bCs/>
          <w:color w:val="000000"/>
          <w:kern w:val="0"/>
          <w:sz w:val="32"/>
          <w:szCs w:val="32"/>
          <w:shd w:val="clear" w:color="auto" w:fill="FFFFFF"/>
        </w:rPr>
        <w:t>四、改进措施和有关建议</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一</w:t>
      </w:r>
      <w:r>
        <w:rPr>
          <w:rFonts w:ascii="仿宋" w:hAnsi="仿宋" w:eastAsia="仿宋" w:cs="仿宋"/>
          <w:sz w:val="32"/>
          <w:szCs w:val="32"/>
        </w:rPr>
        <w:t>)</w:t>
      </w:r>
      <w:r>
        <w:rPr>
          <w:rFonts w:hint="eastAsia" w:ascii="仿宋" w:hAnsi="仿宋" w:eastAsia="仿宋" w:cs="仿宋"/>
          <w:sz w:val="32"/>
          <w:szCs w:val="32"/>
        </w:rPr>
        <w:t>建议加大农业工作的经费支持力度，促进农业更好地支持地方经济发展。</w:t>
      </w:r>
    </w:p>
    <w:p>
      <w:pPr>
        <w:spacing w:line="560" w:lineRule="exact"/>
        <w:ind w:firstLine="640" w:firstLineChars="200"/>
        <w:rPr>
          <w:rFonts w:ascii="仿宋" w:hAnsi="仿宋" w:eastAsia="仿宋" w:cs="仿宋"/>
          <w:sz w:val="32"/>
          <w:szCs w:val="32"/>
        </w:rPr>
      </w:pPr>
      <w:bookmarkStart w:id="2" w:name="_Toc14013"/>
      <w:bookmarkEnd w:id="2"/>
      <w:r>
        <w:rPr>
          <w:rFonts w:hint="eastAsia" w:ascii="仿宋" w:hAnsi="仿宋" w:eastAsia="仿宋" w:cs="仿宋"/>
          <w:sz w:val="32"/>
          <w:szCs w:val="32"/>
        </w:rPr>
        <w:t>（二）对年度绩效目标进行细化、分解，各项目目标细化按权重进行定量、定性考核。绩效目标尽量用定量表述，不能以量化形式表述，可采用定性表述。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强化预算管理，加强预算执行，细化预算支出，使预算资金落实到具体事项，进行动态监控和跟踪问效，提高预算执行的均衡性、有效性、安全性。进一步完善、明确和细化各项费用支出，严格控制公用经费的支出，合理安排预算数。</w:t>
      </w:r>
    </w:p>
    <w:p>
      <w:pPr>
        <w:pStyle w:val="6"/>
        <w:shd w:val="clear" w:color="auto" w:fill="FFFFFF"/>
        <w:spacing w:before="0" w:beforeAutospacing="0" w:after="0" w:afterAutospacing="0" w:line="560" w:lineRule="exact"/>
        <w:ind w:firstLine="640" w:firstLineChars="200"/>
        <w:jc w:val="both"/>
        <w:rPr>
          <w:rFonts w:ascii="仿宋" w:hAnsi="仿宋" w:eastAsia="仿宋" w:cs="仿宋"/>
          <w:kern w:val="2"/>
          <w:sz w:val="32"/>
          <w:szCs w:val="32"/>
        </w:rPr>
      </w:pPr>
      <w:r>
        <w:rPr>
          <w:rFonts w:hint="eastAsia" w:ascii="仿宋" w:hAnsi="仿宋" w:eastAsia="仿宋" w:cs="仿宋"/>
          <w:kern w:val="2"/>
          <w:sz w:val="32"/>
          <w:szCs w:val="32"/>
        </w:rPr>
        <w:t>（四）严格遵守并执行《党政机关厉行节约反对浪费条例》，控制公务接待标准，实行接待费支出总额控制制度。</w:t>
      </w:r>
      <w:r>
        <w:rPr>
          <w:rFonts w:ascii="仿宋" w:hAnsi="仿宋" w:eastAsia="仿宋" w:cs="仿宋"/>
          <w:kern w:val="2"/>
          <w:sz w:val="32"/>
          <w:szCs w:val="32"/>
        </w:rPr>
        <w:t xml:space="preserve"> </w:t>
      </w:r>
    </w:p>
    <w:p>
      <w:pPr>
        <w:spacing w:line="560" w:lineRule="exact"/>
        <w:ind w:firstLine="640" w:firstLineChars="200"/>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ind w:firstLine="5440" w:firstLineChars="1700"/>
        <w:rPr>
          <w:rFonts w:ascii="仿宋" w:hAnsi="仿宋" w:eastAsia="仿宋" w:cs="仿宋"/>
          <w:sz w:val="32"/>
          <w:szCs w:val="32"/>
        </w:rPr>
      </w:pPr>
      <w:r>
        <w:rPr>
          <w:rFonts w:hint="eastAsia" w:ascii="仿宋" w:hAnsi="仿宋" w:eastAsia="仿宋" w:cs="仿宋"/>
          <w:sz w:val="32"/>
          <w:szCs w:val="32"/>
        </w:rPr>
        <w:t>沅江市农业农村局</w:t>
      </w:r>
    </w:p>
    <w:p>
      <w:pPr>
        <w:spacing w:line="560" w:lineRule="exact"/>
        <w:ind w:firstLine="5600" w:firstLineChars="175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20</w:t>
      </w:r>
      <w:r>
        <w:rPr>
          <w:rFonts w:hint="eastAsia" w:ascii="仿宋" w:hAnsi="仿宋" w:eastAsia="仿宋" w:cs="仿宋"/>
          <w:sz w:val="32"/>
          <w:szCs w:val="32"/>
        </w:rPr>
        <w:t>日</w:t>
      </w:r>
    </w:p>
    <w:p>
      <w:pPr>
        <w:ind w:firstLine="640" w:firstLineChars="200"/>
        <w:jc w:val="left"/>
        <w:rPr>
          <w:rFonts w:ascii="宋体" w:cs="黑体"/>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CA5A7D"/>
    <w:multiLevelType w:val="singleLevel"/>
    <w:tmpl w:val="F4CA5A7D"/>
    <w:lvl w:ilvl="0" w:tentative="0">
      <w:start w:val="2"/>
      <w:numFmt w:val="chineseCounting"/>
      <w:suff w:val="nothing"/>
      <w:lvlText w:val="（%1）"/>
      <w:lvlJc w:val="left"/>
      <w:rPr>
        <w:rFonts w:hint="eastAsia" w:cs="Times New Roman"/>
      </w:rPr>
    </w:lvl>
  </w:abstractNum>
  <w:abstractNum w:abstractNumId="1">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cyMjY4MjAyOTZkMTYwYTllNWI4YTcwMzE0ZTdkN2EifQ=="/>
  </w:docVars>
  <w:rsids>
    <w:rsidRoot w:val="00172A27"/>
    <w:rsid w:val="00002276"/>
    <w:rsid w:val="0002229B"/>
    <w:rsid w:val="000273BD"/>
    <w:rsid w:val="000415B7"/>
    <w:rsid w:val="00041E3F"/>
    <w:rsid w:val="00055DAA"/>
    <w:rsid w:val="00061F7B"/>
    <w:rsid w:val="000658A3"/>
    <w:rsid w:val="00073EEC"/>
    <w:rsid w:val="00074155"/>
    <w:rsid w:val="000873EF"/>
    <w:rsid w:val="000A0E21"/>
    <w:rsid w:val="000A3F69"/>
    <w:rsid w:val="000C2485"/>
    <w:rsid w:val="000F2AA6"/>
    <w:rsid w:val="00103957"/>
    <w:rsid w:val="00124A1F"/>
    <w:rsid w:val="00152C6D"/>
    <w:rsid w:val="00162D39"/>
    <w:rsid w:val="001678BD"/>
    <w:rsid w:val="00172A27"/>
    <w:rsid w:val="00182373"/>
    <w:rsid w:val="001A67DB"/>
    <w:rsid w:val="001C3C29"/>
    <w:rsid w:val="001D1E24"/>
    <w:rsid w:val="001D51E5"/>
    <w:rsid w:val="001E080D"/>
    <w:rsid w:val="001E53D0"/>
    <w:rsid w:val="001F0C3B"/>
    <w:rsid w:val="00202C14"/>
    <w:rsid w:val="00202C82"/>
    <w:rsid w:val="00214427"/>
    <w:rsid w:val="00226CB7"/>
    <w:rsid w:val="002362C9"/>
    <w:rsid w:val="00264552"/>
    <w:rsid w:val="00264EF9"/>
    <w:rsid w:val="00265724"/>
    <w:rsid w:val="0027426B"/>
    <w:rsid w:val="002951AC"/>
    <w:rsid w:val="002E0A30"/>
    <w:rsid w:val="00305BBE"/>
    <w:rsid w:val="003130C4"/>
    <w:rsid w:val="00316C4B"/>
    <w:rsid w:val="0032192B"/>
    <w:rsid w:val="003479BD"/>
    <w:rsid w:val="0037197D"/>
    <w:rsid w:val="003768D5"/>
    <w:rsid w:val="003C1E18"/>
    <w:rsid w:val="003C4197"/>
    <w:rsid w:val="003C47E6"/>
    <w:rsid w:val="003C4FC2"/>
    <w:rsid w:val="003E2331"/>
    <w:rsid w:val="00405B3C"/>
    <w:rsid w:val="00416E61"/>
    <w:rsid w:val="0042790C"/>
    <w:rsid w:val="004506F9"/>
    <w:rsid w:val="004717A2"/>
    <w:rsid w:val="00473DF3"/>
    <w:rsid w:val="00487911"/>
    <w:rsid w:val="00491741"/>
    <w:rsid w:val="004B0CEE"/>
    <w:rsid w:val="004B14C3"/>
    <w:rsid w:val="00500E5F"/>
    <w:rsid w:val="005122EF"/>
    <w:rsid w:val="0051441A"/>
    <w:rsid w:val="00517C33"/>
    <w:rsid w:val="00517D5F"/>
    <w:rsid w:val="00521AF2"/>
    <w:rsid w:val="00523644"/>
    <w:rsid w:val="00526700"/>
    <w:rsid w:val="0054069E"/>
    <w:rsid w:val="00544866"/>
    <w:rsid w:val="00562AEF"/>
    <w:rsid w:val="005767CC"/>
    <w:rsid w:val="00590D9F"/>
    <w:rsid w:val="00595D26"/>
    <w:rsid w:val="005A74E6"/>
    <w:rsid w:val="005B404E"/>
    <w:rsid w:val="005D4D55"/>
    <w:rsid w:val="005E2CFB"/>
    <w:rsid w:val="005F2103"/>
    <w:rsid w:val="005F3D1C"/>
    <w:rsid w:val="0062378F"/>
    <w:rsid w:val="00641842"/>
    <w:rsid w:val="00651EEC"/>
    <w:rsid w:val="00676645"/>
    <w:rsid w:val="00686673"/>
    <w:rsid w:val="00691E8C"/>
    <w:rsid w:val="006A22C4"/>
    <w:rsid w:val="006A348B"/>
    <w:rsid w:val="006A351B"/>
    <w:rsid w:val="006B0422"/>
    <w:rsid w:val="006C1B53"/>
    <w:rsid w:val="006D7730"/>
    <w:rsid w:val="006E5284"/>
    <w:rsid w:val="006F3EB5"/>
    <w:rsid w:val="00702E34"/>
    <w:rsid w:val="00704395"/>
    <w:rsid w:val="00705398"/>
    <w:rsid w:val="007060D2"/>
    <w:rsid w:val="00710FE7"/>
    <w:rsid w:val="00717621"/>
    <w:rsid w:val="007204AA"/>
    <w:rsid w:val="00720FF1"/>
    <w:rsid w:val="00727A53"/>
    <w:rsid w:val="0078636D"/>
    <w:rsid w:val="00787B42"/>
    <w:rsid w:val="007C4539"/>
    <w:rsid w:val="007D10BD"/>
    <w:rsid w:val="007F3657"/>
    <w:rsid w:val="00812ED5"/>
    <w:rsid w:val="008277D9"/>
    <w:rsid w:val="0084478C"/>
    <w:rsid w:val="0086638C"/>
    <w:rsid w:val="008763C9"/>
    <w:rsid w:val="008A3E8D"/>
    <w:rsid w:val="008F105C"/>
    <w:rsid w:val="009237C4"/>
    <w:rsid w:val="00944C48"/>
    <w:rsid w:val="00950252"/>
    <w:rsid w:val="00967F5D"/>
    <w:rsid w:val="00973A92"/>
    <w:rsid w:val="009A0F95"/>
    <w:rsid w:val="009B3ADF"/>
    <w:rsid w:val="009C3B52"/>
    <w:rsid w:val="009D25D7"/>
    <w:rsid w:val="009E6817"/>
    <w:rsid w:val="009E6E9A"/>
    <w:rsid w:val="00A01D2B"/>
    <w:rsid w:val="00A42218"/>
    <w:rsid w:val="00A70120"/>
    <w:rsid w:val="00A70249"/>
    <w:rsid w:val="00A70B02"/>
    <w:rsid w:val="00A71D9F"/>
    <w:rsid w:val="00A92E9F"/>
    <w:rsid w:val="00AE5CF7"/>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028C"/>
    <w:rsid w:val="00D75489"/>
    <w:rsid w:val="00DA5754"/>
    <w:rsid w:val="00DD06FF"/>
    <w:rsid w:val="00DD5FE9"/>
    <w:rsid w:val="00DF2A15"/>
    <w:rsid w:val="00E00C7A"/>
    <w:rsid w:val="00E209CF"/>
    <w:rsid w:val="00E37D6C"/>
    <w:rsid w:val="00E53460"/>
    <w:rsid w:val="00E55B68"/>
    <w:rsid w:val="00E67BE6"/>
    <w:rsid w:val="00E75C40"/>
    <w:rsid w:val="00E8683C"/>
    <w:rsid w:val="00E962C3"/>
    <w:rsid w:val="00EA2B72"/>
    <w:rsid w:val="00F1001A"/>
    <w:rsid w:val="00F55292"/>
    <w:rsid w:val="00F74360"/>
    <w:rsid w:val="00FB462F"/>
    <w:rsid w:val="00FE16FA"/>
    <w:rsid w:val="00FE328A"/>
    <w:rsid w:val="00FE6269"/>
    <w:rsid w:val="00FF5CD6"/>
    <w:rsid w:val="03B75263"/>
    <w:rsid w:val="1D1E44F1"/>
    <w:rsid w:val="1E2058A8"/>
    <w:rsid w:val="1FD40401"/>
    <w:rsid w:val="26B11A02"/>
    <w:rsid w:val="26BE72FA"/>
    <w:rsid w:val="2A48209F"/>
    <w:rsid w:val="3159476A"/>
    <w:rsid w:val="32DC042D"/>
    <w:rsid w:val="33701B67"/>
    <w:rsid w:val="3958424D"/>
    <w:rsid w:val="3E39583D"/>
    <w:rsid w:val="454449FA"/>
    <w:rsid w:val="46623CEE"/>
    <w:rsid w:val="46A91AFC"/>
    <w:rsid w:val="4BF64870"/>
    <w:rsid w:val="4FC25A72"/>
    <w:rsid w:val="5172648C"/>
    <w:rsid w:val="52BA243B"/>
    <w:rsid w:val="553744B1"/>
    <w:rsid w:val="556A3E51"/>
    <w:rsid w:val="58A7622D"/>
    <w:rsid w:val="59FC67C7"/>
    <w:rsid w:val="620B3E49"/>
    <w:rsid w:val="65283061"/>
    <w:rsid w:val="682D2A54"/>
    <w:rsid w:val="68E54458"/>
    <w:rsid w:val="6D73404A"/>
    <w:rsid w:val="74192539"/>
    <w:rsid w:val="74754C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9"/>
    <w:qFormat/>
    <w:locked/>
    <w:uiPriority w:val="99"/>
    <w:pPr>
      <w:outlineLvl w:val="3"/>
    </w:pPr>
    <w:rPr>
      <w:rFonts w:ascii="Times New Roman" w:hAnsi="Times New Roman"/>
      <w:bCs/>
      <w:szCs w:val="28"/>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9">
    <w:name w:val="Heading 4 Char"/>
    <w:basedOn w:val="8"/>
    <w:link w:val="2"/>
    <w:semiHidden/>
    <w:qFormat/>
    <w:uiPriority w:val="9"/>
    <w:rPr>
      <w:rFonts w:asciiTheme="majorHAnsi" w:hAnsiTheme="majorHAnsi" w:eastAsiaTheme="majorEastAsia" w:cstheme="majorBidi"/>
      <w:b/>
      <w:bCs/>
      <w:sz w:val="28"/>
      <w:szCs w:val="28"/>
    </w:rPr>
  </w:style>
  <w:style w:type="character" w:customStyle="1" w:styleId="10">
    <w:name w:val="Balloon Text Char"/>
    <w:basedOn w:val="8"/>
    <w:link w:val="3"/>
    <w:semiHidden/>
    <w:qFormat/>
    <w:locked/>
    <w:uiPriority w:val="99"/>
    <w:rPr>
      <w:rFonts w:cs="Times New Roman"/>
      <w:sz w:val="18"/>
      <w:szCs w:val="18"/>
    </w:rPr>
  </w:style>
  <w:style w:type="character" w:customStyle="1" w:styleId="11">
    <w:name w:val="Footer Char"/>
    <w:basedOn w:val="8"/>
    <w:link w:val="4"/>
    <w:locked/>
    <w:uiPriority w:val="99"/>
    <w:rPr>
      <w:rFonts w:cs="Times New Roman"/>
      <w:sz w:val="18"/>
      <w:szCs w:val="18"/>
    </w:rPr>
  </w:style>
  <w:style w:type="character" w:customStyle="1" w:styleId="12">
    <w:name w:val="Header Char"/>
    <w:basedOn w:val="8"/>
    <w:link w:val="5"/>
    <w:locked/>
    <w:uiPriority w:val="99"/>
    <w:rPr>
      <w:rFonts w:cs="Times New Roman"/>
      <w:sz w:val="18"/>
      <w:szCs w:val="18"/>
    </w:rPr>
  </w:style>
  <w:style w:type="paragraph" w:customStyle="1" w:styleId="13">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44</Pages>
  <Words>16263</Words>
  <Characters>20373</Characters>
  <Lines>0</Lines>
  <Paragraphs>0</Paragraphs>
  <TotalTime>8</TotalTime>
  <ScaleCrop>false</ScaleCrop>
  <LinksUpToDate>false</LinksUpToDate>
  <CharactersWithSpaces>21363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LJ</cp:lastModifiedBy>
  <cp:lastPrinted>2022-07-27T12:55:00Z</cp:lastPrinted>
  <dcterms:modified xsi:type="dcterms:W3CDTF">2022-09-01T02:46:01Z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65D14520F60043E5B67DBBA3E900B93D</vt:lpwstr>
  </property>
</Properties>
</file>