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2020年度整体</w:t>
      </w:r>
      <w:r>
        <w:rPr>
          <w:b/>
          <w:bCs/>
          <w:color w:val="333333"/>
          <w:kern w:val="0"/>
          <w:sz w:val="44"/>
          <w:szCs w:val="44"/>
        </w:rPr>
        <w:t>支出绩效</w:t>
      </w:r>
      <w:r>
        <w:rPr>
          <w:rFonts w:hint="eastAsia"/>
          <w:b/>
          <w:bCs/>
          <w:color w:val="333333"/>
          <w:kern w:val="0"/>
          <w:sz w:val="44"/>
          <w:szCs w:val="44"/>
        </w:rPr>
        <w:t>自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评</w:t>
      </w:r>
      <w:r>
        <w:rPr>
          <w:b/>
          <w:bCs/>
          <w:color w:val="333333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Theme="minorEastAsia" w:hAnsiTheme="minorEastAsia" w:eastAsiaTheme="minorEastAsia" w:cstheme="minorEastAsia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1、机构设置和人员情况：</w:t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本单位</w:t>
      </w:r>
      <w:r>
        <w:rPr>
          <w:rFonts w:hint="eastAsia" w:asciiTheme="minorEastAsia" w:hAnsiTheme="minorEastAsia" w:cstheme="minorEastAsia"/>
          <w:sz w:val="32"/>
          <w:lang w:val="en-US" w:eastAsia="zh-CN"/>
        </w:rPr>
        <w:t>核定全额拨款事业编制15名，设站长1名，副站长2名，</w:t>
      </w:r>
      <w:r>
        <w:rPr>
          <w:rFonts w:hint="eastAsia" w:asciiTheme="minorEastAsia" w:hAnsiTheme="minorEastAsia" w:cstheme="minorEastAsia"/>
          <w:sz w:val="32"/>
          <w:lang w:eastAsia="zh-CN"/>
        </w:rPr>
        <w:t>现有在职人员</w:t>
      </w:r>
      <w:r>
        <w:rPr>
          <w:rFonts w:hint="eastAsia" w:asciiTheme="minorEastAsia" w:hAnsiTheme="minorEastAsia" w:cstheme="minorEastAsia"/>
          <w:sz w:val="3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lang w:eastAsia="zh-CN"/>
        </w:rPr>
        <w:t>名，退休人员</w:t>
      </w:r>
      <w:r>
        <w:rPr>
          <w:rFonts w:hint="eastAsia" w:asciiTheme="minorEastAsia" w:hAnsiTheme="minorEastAsia" w:cstheme="minorEastAsia"/>
          <w:sz w:val="32"/>
          <w:lang w:val="en-US" w:eastAsia="zh-CN"/>
        </w:rPr>
        <w:t>9名。</w:t>
      </w:r>
      <w:r>
        <w:rPr>
          <w:rFonts w:hint="eastAsia" w:asciiTheme="minorEastAsia" w:hAnsiTheme="minorEastAsia" w:eastAsiaTheme="minorEastAsia" w:cstheme="minorEastAsia"/>
          <w:sz w:val="32"/>
        </w:rPr>
        <w:t>内设综合办公室（</w:t>
      </w: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加挂农民合作社和家庭农场建设指导股牌子</w:t>
      </w:r>
      <w:r>
        <w:rPr>
          <w:rFonts w:hint="eastAsia" w:asciiTheme="minorEastAsia" w:hAnsiTheme="minorEastAsia" w:eastAsiaTheme="minorEastAsia" w:cstheme="minorEastAsia"/>
          <w:sz w:val="32"/>
        </w:rPr>
        <w:t>）、农村集体资产财务监督管理股、农民权益维护和农民负担监督股、农村土地承包监督管理股(加挂市农村土地流转服务中心</w:t>
      </w: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2"/>
        </w:rPr>
        <w:t>农村土地承包经营纠纷仲裁</w:t>
      </w: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中心两块牌子</w:t>
      </w:r>
      <w:r>
        <w:rPr>
          <w:rFonts w:hint="eastAsia" w:asciiTheme="minorEastAsia" w:hAnsiTheme="minorEastAsia" w:eastAsiaTheme="minorEastAsia" w:cstheme="minorEastAsia"/>
          <w:sz w:val="32"/>
        </w:rPr>
        <w:t>)4个内设机构。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600" w:lineRule="exact"/>
        <w:ind w:firstLine="64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2、主要职能：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负责农村经济经营管理情况的统计分析；指导发展农村新型农业经营主体和多种形式适度规模经营；承担农民承包地改革和管理、农村宅基地和农村集体产权制度改革工作；承担农民权益维护、监督减轻农民负担和村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“一事一议”筹资筹劳管理；指导农村集体资产、农村集体经济发展、财务管理、农民合作经济组织和农业社会化服务体系建设；指导宅基地分配、使用、流转，参与纠纷仲裁管理和宅基地合理布局及用地标准，协助违法用地查处，指导闲置宅基地和闲置农房利用；指导乡村治理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1、年初总预算收支情况。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沅江市农村经济经营服务站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020年度财政拨款基本支出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197.7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115.5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79.2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</w:t>
      </w:r>
      <w:r>
        <w:rPr>
          <w:rFonts w:hint="eastAsia"/>
          <w:sz w:val="32"/>
          <w:szCs w:val="32"/>
        </w:rPr>
        <w:t>按国家规定支出的基本工资、津贴补贴、其他社会保障缴费、伙食补助费、机关事业单位基本养老保险缴费、其他工资福利支出、离休费、退休费、抚恤金、生活补助、医疗费、住房公积金、其他对个人和家庭的补助支出；</w:t>
      </w:r>
      <w:r>
        <w:rPr>
          <w:rFonts w:hint="eastAsia" w:asciiTheme="minorEastAsia" w:hAnsiTheme="minorEastAsia" w:eastAsiaTheme="minorEastAsia"/>
          <w:sz w:val="32"/>
          <w:szCs w:val="32"/>
        </w:rPr>
        <w:t>公用经费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82.2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20.8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</w:t>
      </w:r>
      <w:r>
        <w:rPr>
          <w:rFonts w:hint="eastAsia"/>
          <w:sz w:val="32"/>
          <w:szCs w:val="32"/>
        </w:rPr>
        <w:t>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其他资本性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单位财政预算收支项目分类表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600" w:lineRule="exact"/>
        <w:ind w:firstLine="1928" w:firstLineChars="600"/>
        <w:jc w:val="left"/>
        <w:textAlignment w:val="auto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tbl>
      <w:tblPr>
        <w:tblStyle w:val="3"/>
        <w:tblW w:w="8080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0"/>
        <w:gridCol w:w="24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570" w:firstLineChars="800"/>
              <w:jc w:val="lef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项 目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金额（万元）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一、年初预算总收入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145.7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1、工资福利支出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110.7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2、一般商品和服务支出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34.6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4、对个人和家庭的补助支出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二、上年结转财政拨款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619.4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三、年终结算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全年收入总计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765.1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（2）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专项经费预算共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万元，其中：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农村财务管理和公开工作经费项目支出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万元，农村经营管理情况统计年报工作经费项目支出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万元，维护农民权益与农民负担监督管理工作经费项目支出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万元，土地流转服务中心工作经费项目支出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农民合作社建设指导工作经费项目支出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2、年度预算收支决算情况。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（1）财政补助收入情况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2020年全年收入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765.1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万元，其中财政拨款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145.7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年初结转和结余收入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619.4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（2）事业支出情况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2020年全年支出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765.1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万元。其中农林水支出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765.1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（3）“三公”经费支出情况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2020年度“三公”经费财政拨款支出决算中，公务接待费支出决算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/>
          <w:sz w:val="32"/>
          <w:szCs w:val="32"/>
          <w:lang w:eastAsia="zh-CN"/>
        </w:rPr>
        <w:t>；我站无公务用车，本年度无</w:t>
      </w: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</w:t>
      </w:r>
      <w:r>
        <w:rPr>
          <w:rFonts w:hint="eastAsia" w:asciiTheme="minorEastAsia" w:hAnsiTheme="minorEastAsia"/>
          <w:sz w:val="32"/>
          <w:szCs w:val="32"/>
          <w:lang w:eastAsia="zh-CN"/>
        </w:rPr>
        <w:t>；工作主要扎根在乡镇，无</w:t>
      </w: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7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其中：</w:t>
      </w:r>
      <w:r>
        <w:rPr>
          <w:rFonts w:hint="eastAsia" w:asciiTheme="minorEastAsia" w:hAnsiTheme="minorEastAsia" w:eastAsiaTheme="minorEastAsia"/>
          <w:sz w:val="32"/>
          <w:szCs w:val="32"/>
        </w:rPr>
        <w:t>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166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上级工作调研、各区县之间工作学习交流和乡镇工作对接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三、本年度部门决算等财务工作开展情况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84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预算编制方面：一是收入预算的编制坚持实事求是、积极稳妥的原则，与实际经济社会增长指标相适应；同时分科目测算，从而提高收入预算编制的科学性和准确性。二是支出预算编制坚持统筹兼顾、突出重点、有保有压，进一步优化财政支出结构，严格控制一般性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84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决算方面：为做好单位2020年度财政决算工作，确保单位财政决算工作高标准、高质量、高水平完成。本单位财务人员积极参加了财政组织的关于2020年度全市财政决算布置会议培训；认真听取市财政局专家对2020年度财政部门决算工作的安排部署。并对今年决算报表的编报范围、填报要求、主要变动事项、报表口径、注意事项以及决算软件的使用，进行了认真的学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四、部门整体支出管理情况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838" w:firstLineChars="262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eastAsia="zh-CN"/>
        </w:rPr>
        <w:t>我站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建立了《机关财务管理制度》，并严格按照市财政局制定的公务接待、差旅费、培训费、会议费等相关管理办法，规范了公务支出管理。严格履行财务审批手续，做到了无计划安排不报账，无领导审批不报账，无经手人签字不报账，不符合财务规定的发票、票据不报账。经费的开支管理及费用报销均严格执行相关制度规定，坚持勤俭节约，确保资金的规范使用与安全。对项目资金的实施、资金投向及调度安排、固定资产购置及交付使用进行跟踪管理，确保项目资金专款专用。对于批量及单价在规定金额以上的物品采购，均实行政府采购制度。年度计划、重大支出等重大事项均经过党组会议集体讨论决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五、部门整体支出绩效情况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838" w:firstLineChars="262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根据市财政局要求，我</w:t>
      </w:r>
      <w:r>
        <w:rPr>
          <w:rFonts w:hint="eastAsia" w:asciiTheme="minorEastAsia" w:hAnsiTheme="minorEastAsia" w:cstheme="minorEastAsia"/>
          <w:color w:val="333333"/>
          <w:kern w:val="0"/>
          <w:sz w:val="32"/>
          <w:szCs w:val="32"/>
          <w:lang w:eastAsia="zh-CN"/>
        </w:rPr>
        <w:t>站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以绩效评估为契机，认真对照评估指标，按照年度工作计划扎实推进2020年度财政支出绩效自评工作。总的来说，2020年我单位全体干部职工积极履职、扎实工作，较好完成了全年工作目标。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六、部门整体支出绩效存在的问题和改进措施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 xml:space="preserve">部分业务工作缺少资金保障，建议将单位经费不足部分纳入年初财政预算。建立完善的项目管理制度，并按制度执行。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6E547A0"/>
    <w:rsid w:val="0D002E1D"/>
    <w:rsid w:val="15BB37EC"/>
    <w:rsid w:val="17492239"/>
    <w:rsid w:val="1B2D6EB8"/>
    <w:rsid w:val="1F024A8F"/>
    <w:rsid w:val="250B7873"/>
    <w:rsid w:val="44BA5501"/>
    <w:rsid w:val="4B7462C8"/>
    <w:rsid w:val="4FC866FB"/>
    <w:rsid w:val="6982049D"/>
    <w:rsid w:val="78AF5E04"/>
    <w:rsid w:val="79B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2022-09-01T03:35:00Z</dcterms:created>
  <dc:creator>tangh</dc:creator>
  <cp:lastModifiedBy>系统管理员 null</cp:lastModifiedBy>
  <dcterms:modified xsi:type="dcterms:W3CDTF">2022-09-02T05:22:27Z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F0E1FA0DA0614C67A9CF4886A38A5BAE</vt:lpwstr>
  </property>
</Properties>
</file>