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eastAsia="华文中宋"/>
          <w:sz w:val="48"/>
          <w:szCs w:val="48"/>
        </w:rPr>
      </w:pPr>
    </w:p>
    <w:p>
      <w:pPr>
        <w:snapToGrid w:val="0"/>
        <w:jc w:val="center"/>
        <w:rPr>
          <w:rFonts w:hint="eastAsia" w:ascii="华文中宋" w:hAnsi="华文中宋" w:eastAsia="华文中宋"/>
          <w:sz w:val="48"/>
          <w:szCs w:val="48"/>
        </w:rPr>
      </w:pPr>
      <w:r>
        <w:rPr>
          <w:rFonts w:hint="eastAsia" w:ascii="华文中宋" w:hAnsi="华文中宋" w:eastAsia="华文中宋"/>
          <w:sz w:val="48"/>
          <w:szCs w:val="48"/>
        </w:rPr>
        <w:t>2021年度部门决算分析报告</w:t>
      </w:r>
    </w:p>
    <w:p>
      <w:pPr>
        <w:snapToGrid w:val="0"/>
        <w:jc w:val="center"/>
        <w:rPr>
          <w:rFonts w:hint="eastAsia" w:ascii="华文中宋" w:hAnsi="华文中宋" w:eastAsia="华文中宋"/>
          <w:sz w:val="28"/>
          <w:szCs w:val="28"/>
        </w:rPr>
      </w:pPr>
    </w:p>
    <w:p>
      <w:pPr>
        <w:snapToGrid w:val="0"/>
        <w:jc w:val="both"/>
        <w:rPr>
          <w:rFonts w:hint="default" w:ascii="华文中宋" w:hAnsi="华文中宋" w:eastAsia="华文中宋"/>
          <w:sz w:val="40"/>
          <w:szCs w:val="40"/>
          <w:lang w:val="en-US" w:eastAsia="zh-CN"/>
        </w:rPr>
      </w:pPr>
      <w:r>
        <w:rPr>
          <w:rFonts w:hint="eastAsia" w:ascii="华文中宋" w:hAnsi="华文中宋" w:eastAsia="华文中宋"/>
          <w:sz w:val="28"/>
          <w:szCs w:val="28"/>
          <w:lang w:val="en-US" w:eastAsia="zh-CN"/>
        </w:rPr>
        <w:t xml:space="preserve">          </w:t>
      </w:r>
      <w:r>
        <w:rPr>
          <w:rFonts w:hint="eastAsia" w:ascii="华文中宋" w:hAnsi="华文中宋" w:eastAsia="华文中宋"/>
          <w:sz w:val="40"/>
          <w:szCs w:val="40"/>
          <w:lang w:val="en-US" w:eastAsia="zh-CN"/>
        </w:rPr>
        <w:t xml:space="preserve">  沅江市工伤保险服务中心</w:t>
      </w:r>
    </w:p>
    <w:p>
      <w:pPr>
        <w:snapToGrid w:val="0"/>
        <w:jc w:val="both"/>
        <w:rPr>
          <w:rFonts w:hint="default" w:ascii="华文中宋" w:hAnsi="华文中宋" w:eastAsia="华文中宋"/>
          <w:sz w:val="36"/>
          <w:szCs w:val="36"/>
          <w:lang w:val="en-US" w:eastAsia="zh-CN"/>
        </w:rPr>
      </w:pPr>
      <w:r>
        <w:rPr>
          <w:rFonts w:hint="eastAsia" w:ascii="华文中宋" w:hAnsi="华文中宋" w:eastAsia="华文中宋"/>
          <w:sz w:val="48"/>
          <w:szCs w:val="48"/>
          <w:lang w:val="en-US" w:eastAsia="zh-CN"/>
        </w:rPr>
        <w:t xml:space="preserve">           </w:t>
      </w:r>
    </w:p>
    <w:p>
      <w:pPr>
        <w:snapToGrid w:val="0"/>
        <w:spacing w:line="520" w:lineRule="exact"/>
        <w:ind w:firstLine="320" w:firstLineChars="100"/>
        <w:rPr>
          <w:rFonts w:hint="eastAsia" w:ascii="黑体" w:hAnsi="黑体" w:eastAsia="黑体"/>
          <w:sz w:val="32"/>
          <w:szCs w:val="32"/>
        </w:rPr>
      </w:pPr>
      <w:bookmarkStart w:id="0" w:name="YS060101"/>
      <w:r>
        <w:rPr>
          <w:rFonts w:hint="eastAsia" w:ascii="黑体" w:hAnsi="黑体" w:eastAsia="黑体"/>
          <w:sz w:val="32"/>
          <w:szCs w:val="32"/>
        </w:rPr>
        <w:t>一、单位情况</w:t>
      </w:r>
    </w:p>
    <w:bookmarkEnd w:id="0"/>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1．主要职能</w:t>
      </w:r>
      <w:r>
        <w:rPr>
          <w:rFonts w:hint="eastAsia" w:ascii="仿宋_GB2312" w:hAnsi="仿宋" w:eastAsia="仿宋_GB2312"/>
          <w:sz w:val="32"/>
          <w:szCs w:val="32"/>
          <w:lang w:eastAsia="zh-CN"/>
        </w:rPr>
        <w:t>：负责辖区内工伤保险基金的收缴管理以及工伤人员待遇支付工作。</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2021年度本单位隶属于沅江市人力资源和社会保障局二级机构。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2021年度本单位年末实有人数9人，跟上年一致。</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本单位工作开展</w:t>
      </w:r>
      <w:r>
        <w:rPr>
          <w:rFonts w:hint="eastAsia" w:ascii="仿宋_GB2312" w:hAnsi="仿宋" w:eastAsia="仿宋_GB2312"/>
          <w:sz w:val="32"/>
          <w:szCs w:val="32"/>
        </w:rPr>
        <w:t>情况及主要事业成效</w:t>
      </w:r>
      <w:r>
        <w:rPr>
          <w:rFonts w:hint="eastAsia" w:ascii="仿宋_GB2312" w:hAnsi="仿宋" w:eastAsia="仿宋_GB2312"/>
          <w:sz w:val="32"/>
          <w:szCs w:val="32"/>
          <w:lang w:eastAsia="zh-CN"/>
        </w:rPr>
        <w:t>：完成了参保任务，认真调查落实享受待遇人员情况，及时发放待遇到位</w:t>
      </w:r>
      <w:r>
        <w:rPr>
          <w:rFonts w:hint="eastAsia" w:ascii="仿宋_GB2312" w:hAnsi="仿宋" w:eastAsia="仿宋_GB2312"/>
          <w:sz w:val="32"/>
          <w:szCs w:val="32"/>
        </w:rPr>
        <w:t>。</w:t>
      </w:r>
    </w:p>
    <w:p>
      <w:pPr>
        <w:snapToGrid w:val="0"/>
        <w:spacing w:line="520" w:lineRule="exact"/>
        <w:ind w:firstLine="640" w:firstLineChars="200"/>
        <w:rPr>
          <w:rFonts w:hint="eastAsia" w:ascii="黑体" w:hAnsi="黑体" w:eastAsia="黑体"/>
          <w:sz w:val="32"/>
          <w:szCs w:val="32"/>
        </w:rPr>
      </w:pPr>
      <w:bookmarkStart w:id="1" w:name="YS060102"/>
      <w:r>
        <w:rPr>
          <w:rFonts w:hint="eastAsia" w:ascii="黑体" w:hAnsi="黑体" w:eastAsia="黑体"/>
          <w:sz w:val="32"/>
          <w:szCs w:val="32"/>
        </w:rPr>
        <w:t>二、收入支出预算执行情况分析</w:t>
      </w:r>
    </w:p>
    <w:bookmarkEnd w:id="1"/>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本部门年初预算收入120.24万元，比上年增5.83万元，增长5%。增加的主要原因是：其中一般公共预算财政拨款收入年初120.24万元，比上年增加5.83万元；政府性基金预算财政拨款收入年初预算0万元；上级补助收入年初预算0万元；事业收入年初预算0万元；经营收入年初预算0万元。其他收入8.1万元，比上年增加0.3万元。</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（二）收入支出预算执行情况。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2021年，本部门年初预算支出120.24万元，比上年增加5.83万元，增长5%。增加的主要原因：其中基本支出90.233万元，比上年增加5.83万元；项目支出30万元，跟上年一致；人员经费完成9万。</w:t>
      </w:r>
    </w:p>
    <w:p>
      <w:pPr>
        <w:snapToGrid w:val="0"/>
        <w:spacing w:line="520" w:lineRule="exact"/>
        <w:ind w:firstLine="321" w:firstLineChars="100"/>
        <w:rPr>
          <w:rFonts w:hint="eastAsia" w:ascii="仿宋_GB2312" w:hAnsi="仿宋" w:eastAsia="仿宋_GB2312"/>
          <w:b/>
          <w:sz w:val="32"/>
          <w:szCs w:val="32"/>
        </w:rPr>
      </w:pPr>
      <w:r>
        <w:rPr>
          <w:rFonts w:hint="eastAsia" w:ascii="仿宋_GB2312" w:hAnsi="仿宋" w:eastAsia="仿宋_GB2312"/>
          <w:b/>
          <w:sz w:val="32"/>
          <w:szCs w:val="32"/>
        </w:rPr>
        <w:t>支出按经济分类科目分析。</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（1）“三公”经费支出情况：</w:t>
      </w:r>
      <w:r>
        <w:rPr>
          <w:rFonts w:hint="eastAsia" w:ascii="仿宋_GB2312" w:hAnsi="仿宋" w:eastAsia="仿宋_GB2312"/>
          <w:sz w:val="32"/>
          <w:szCs w:val="32"/>
          <w:lang w:val="en-US" w:eastAsia="zh-CN"/>
        </w:rPr>
        <w:t>2021年，“三公”经费完成0.3万元，跟去年一致。</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（2）会议费支出情况：</w:t>
      </w:r>
      <w:r>
        <w:rPr>
          <w:rFonts w:hint="eastAsia" w:ascii="仿宋_GB2312" w:hAnsi="仿宋" w:eastAsia="仿宋_GB2312"/>
          <w:sz w:val="32"/>
          <w:szCs w:val="32"/>
          <w:lang w:val="en-US" w:eastAsia="zh-CN"/>
        </w:rPr>
        <w:t>2021年会议费完成0元。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（3）培训费支出情况：</w:t>
      </w:r>
      <w:r>
        <w:rPr>
          <w:rFonts w:hint="eastAsia" w:ascii="仿宋_GB2312" w:hAnsi="仿宋" w:eastAsia="仿宋_GB2312"/>
          <w:sz w:val="32"/>
          <w:szCs w:val="32"/>
          <w:lang w:val="en-US" w:eastAsia="zh-CN"/>
        </w:rPr>
        <w:t>2021年完成培训费0元。</w:t>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本年度财政拨款收入</w:t>
      </w:r>
      <w:r>
        <w:rPr>
          <w:rFonts w:hint="eastAsia" w:ascii="仿宋_GB2312" w:hAnsi="仿宋" w:eastAsia="仿宋_GB2312"/>
          <w:sz w:val="32"/>
          <w:szCs w:val="32"/>
          <w:lang w:val="en-US" w:eastAsia="zh-CN"/>
        </w:rPr>
        <w:t>120.24万元，预算支出为120.24万元：其中基本支出102.269万元，项目支出17.97万元。</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pPr>
        <w:snapToGrid w:val="0"/>
        <w:spacing w:line="520" w:lineRule="exact"/>
        <w:ind w:firstLine="640" w:firstLineChars="200"/>
        <w:rPr>
          <w:rFonts w:hint="eastAsia" w:ascii="楷体_GB2312" w:hAnsi="仿宋" w:eastAsia="楷体_GB2312"/>
          <w:b/>
          <w:sz w:val="32"/>
          <w:szCs w:val="32"/>
        </w:rPr>
      </w:pPr>
      <w:r>
        <w:rPr>
          <w:rFonts w:hint="eastAsia" w:ascii="仿宋_GB2312" w:hAnsi="仿宋" w:eastAsia="仿宋_GB2312"/>
          <w:sz w:val="32"/>
          <w:szCs w:val="32"/>
          <w:lang w:eastAsia="zh-CN"/>
        </w:rPr>
        <w:t>本年度其他收入</w:t>
      </w:r>
      <w:r>
        <w:rPr>
          <w:rFonts w:hint="eastAsia" w:ascii="仿宋_GB2312" w:hAnsi="仿宋" w:eastAsia="仿宋_GB2312"/>
          <w:sz w:val="32"/>
          <w:szCs w:val="32"/>
          <w:lang w:val="en-US" w:eastAsia="zh-CN"/>
        </w:rPr>
        <w:t>8.1万元</w:t>
      </w:r>
      <w:r>
        <w:rPr>
          <w:rFonts w:hint="eastAsia" w:ascii="仿宋_GB2312" w:hAnsi="仿宋" w:eastAsia="仿宋_GB2312"/>
          <w:sz w:val="32"/>
          <w:szCs w:val="32"/>
          <w:lang w:eastAsia="zh-CN"/>
        </w:rPr>
        <w:t>由人社局转拨财政拨款，此款项为</w:t>
      </w:r>
      <w:r>
        <w:rPr>
          <w:rFonts w:hint="eastAsia" w:ascii="仿宋_GB2312" w:hAnsi="仿宋" w:eastAsia="仿宋_GB2312"/>
          <w:sz w:val="32"/>
          <w:szCs w:val="32"/>
          <w:lang w:val="en-US" w:eastAsia="zh-CN"/>
        </w:rPr>
        <w:t>2020年度绩效奖金发放，本年度已完成绩效奖金发放。</w:t>
      </w:r>
      <w:r>
        <w:rPr>
          <w:rFonts w:hint="eastAsia" w:ascii="楷体_GB2312" w:hAnsi="仿宋" w:eastAsia="楷体_GB2312"/>
          <w:b/>
          <w:sz w:val="32"/>
          <w:szCs w:val="32"/>
        </w:rPr>
        <w:t>（三）年末结转和结余情况。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2021年，本单位年末结转和结余资金0元。根据资金性质：基本支出结转0元，项目支出结转结余0元，项目支出当年额度全部用完。</w:t>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rPr>
          <w:rFonts w:hint="eastAsia" w:ascii="楷体_GB2312" w:hAnsi="仿宋" w:eastAsia="楷体_GB2312"/>
          <w:b/>
          <w:sz w:val="32"/>
          <w:szCs w:val="32"/>
        </w:rPr>
      </w:pPr>
      <w:bookmarkStart w:id="2" w:name="YS060103"/>
      <w:r>
        <w:rPr>
          <w:rFonts w:hint="eastAsia" w:ascii="楷体_GB2312" w:hAnsi="仿宋" w:eastAsia="楷体_GB2312"/>
          <w:b/>
          <w:sz w:val="32"/>
          <w:szCs w:val="32"/>
        </w:rPr>
        <w:t>（四）与预算支出相关的其他指标分析。</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2021年度末资产总额为99432.11元。资产总额增加是因为2021年度业务系统升级，以前的办公电脑配置达不到系统要求以及未配合省中心基金大检查购置了新的办公设备。</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2021年度末负责和净资产合计99432.11元。</w:t>
      </w:r>
    </w:p>
    <w:p>
      <w:pPr>
        <w:numPr>
          <w:ilvl w:val="0"/>
          <w:numId w:val="1"/>
        </w:num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绩效目标完成情况。</w:t>
      </w:r>
    </w:p>
    <w:p>
      <w:pPr>
        <w:numPr>
          <w:ilvl w:val="0"/>
          <w:numId w:val="0"/>
        </w:numPr>
        <w:snapToGrid w:val="0"/>
        <w:spacing w:line="520" w:lineRule="exact"/>
        <w:rPr>
          <w:rFonts w:hint="default" w:ascii="楷体_GB2312" w:hAnsi="仿宋" w:eastAsia="楷体_GB2312"/>
          <w:b w:val="0"/>
          <w:bCs/>
          <w:sz w:val="32"/>
          <w:szCs w:val="32"/>
          <w:lang w:val="en-US" w:eastAsia="zh-CN"/>
        </w:rPr>
      </w:pPr>
      <w:r>
        <w:rPr>
          <w:rFonts w:hint="eastAsia" w:ascii="楷体_GB2312" w:hAnsi="仿宋" w:eastAsia="楷体_GB2312"/>
          <w:b/>
          <w:sz w:val="32"/>
          <w:szCs w:val="32"/>
          <w:lang w:val="en-US" w:eastAsia="zh-CN"/>
        </w:rPr>
        <w:t xml:space="preserve">   </w:t>
      </w:r>
      <w:r>
        <w:rPr>
          <w:rFonts w:hint="eastAsia" w:ascii="楷体_GB2312" w:hAnsi="仿宋" w:eastAsia="楷体_GB2312"/>
          <w:b w:val="0"/>
          <w:bCs/>
          <w:sz w:val="32"/>
          <w:szCs w:val="32"/>
          <w:lang w:val="en-US" w:eastAsia="zh-CN"/>
        </w:rPr>
        <w:t>本年度完成了全年各项绩效目标任务。</w:t>
      </w:r>
    </w:p>
    <w:p>
      <w:pPr>
        <w:numPr>
          <w:ilvl w:val="0"/>
          <w:numId w:val="1"/>
        </w:numPr>
        <w:snapToGrid w:val="0"/>
        <w:spacing w:line="520" w:lineRule="exact"/>
        <w:ind w:left="0" w:leftChars="0" w:firstLine="643" w:firstLineChars="200"/>
        <w:rPr>
          <w:rFonts w:hint="eastAsia" w:ascii="楷体_GB2312" w:hAnsi="仿宋" w:eastAsia="楷体_GB2312"/>
          <w:b/>
          <w:sz w:val="32"/>
          <w:szCs w:val="32"/>
        </w:rPr>
      </w:pPr>
      <w:r>
        <w:rPr>
          <w:rFonts w:hint="eastAsia" w:ascii="楷体_GB2312" w:hAnsi="仿宋" w:eastAsia="楷体_GB2312"/>
          <w:b/>
          <w:sz w:val="32"/>
          <w:szCs w:val="32"/>
        </w:rPr>
        <w:t>当年预算执行及绩效管理中存在问题、原因及改进措施。</w:t>
      </w:r>
    </w:p>
    <w:p>
      <w:pPr>
        <w:numPr>
          <w:ilvl w:val="0"/>
          <w:numId w:val="0"/>
        </w:numPr>
        <w:snapToGrid w:val="0"/>
        <w:spacing w:line="520" w:lineRule="exact"/>
        <w:ind w:leftChars="200"/>
        <w:rPr>
          <w:rFonts w:hint="eastAsia" w:ascii="楷体_GB2312" w:hAnsi="仿宋" w:eastAsia="楷体_GB2312"/>
          <w:b w:val="0"/>
          <w:bCs/>
          <w:sz w:val="32"/>
          <w:szCs w:val="32"/>
          <w:lang w:val="en-US" w:eastAsia="zh-CN"/>
        </w:rPr>
      </w:pPr>
      <w:r>
        <w:rPr>
          <w:rFonts w:hint="eastAsia" w:ascii="楷体_GB2312" w:hAnsi="仿宋" w:eastAsia="楷体_GB2312"/>
          <w:b w:val="0"/>
          <w:bCs/>
          <w:sz w:val="32"/>
          <w:szCs w:val="32"/>
          <w:lang w:val="en-US" w:eastAsia="zh-CN"/>
        </w:rPr>
        <w:t xml:space="preserve"> 本年度无存在问题。</w:t>
      </w:r>
    </w:p>
    <w:bookmarkEnd w:id="2"/>
    <w:p>
      <w:pPr>
        <w:snapToGrid w:val="0"/>
        <w:spacing w:line="520" w:lineRule="exact"/>
        <w:ind w:firstLine="640" w:firstLineChars="200"/>
        <w:rPr>
          <w:rFonts w:hint="eastAsia" w:ascii="黑体" w:hAnsi="黑体" w:eastAsia="黑体"/>
          <w:sz w:val="32"/>
          <w:szCs w:val="32"/>
        </w:rPr>
      </w:pPr>
      <w:bookmarkStart w:id="3" w:name="YS060104"/>
      <w:r>
        <w:rPr>
          <w:rFonts w:hint="eastAsia" w:ascii="黑体" w:hAnsi="黑体" w:eastAsia="黑体"/>
          <w:sz w:val="32"/>
          <w:szCs w:val="32"/>
        </w:rPr>
        <w:t>三、本年度部门决算等财务工作开展情况</w:t>
      </w:r>
    </w:p>
    <w:bookmarkEnd w:id="3"/>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（一）本单位</w:t>
      </w:r>
      <w:r>
        <w:rPr>
          <w:rFonts w:hint="eastAsia" w:ascii="仿宋_GB2312" w:hAnsi="仿宋" w:eastAsia="仿宋_GB2312"/>
          <w:sz w:val="32"/>
          <w:szCs w:val="32"/>
          <w:lang w:eastAsia="zh-CN"/>
        </w:rPr>
        <w:t>严格按财务制度要求进行财务管理，及时组织决算工作</w:t>
      </w:r>
      <w:bookmarkStart w:id="6" w:name="_GoBack"/>
      <w:bookmarkEnd w:id="6"/>
      <w:r>
        <w:rPr>
          <w:rFonts w:hint="eastAsia" w:ascii="仿宋_GB2312" w:hAnsi="仿宋" w:eastAsia="仿宋_GB2312"/>
          <w:sz w:val="32"/>
          <w:szCs w:val="32"/>
          <w:lang w:eastAsia="zh-CN"/>
        </w:rPr>
        <w:t>，按时编报审核。</w:t>
      </w:r>
      <w:r>
        <w:rPr>
          <w:rFonts w:hint="eastAsia" w:ascii="仿宋_GB2312" w:hAnsi="仿宋" w:eastAsia="仿宋_GB2312"/>
          <w:sz w:val="32"/>
          <w:szCs w:val="32"/>
          <w:lang w:val="en-US" w:eastAsia="zh-CN"/>
        </w:rPr>
        <w:t xml:space="preserve"> </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（二）本单位</w:t>
      </w:r>
      <w:r>
        <w:rPr>
          <w:rFonts w:hint="eastAsia" w:ascii="仿宋_GB2312" w:hAnsi="仿宋" w:eastAsia="仿宋_GB2312"/>
          <w:sz w:val="32"/>
          <w:szCs w:val="32"/>
          <w:lang w:eastAsia="zh-CN"/>
        </w:rPr>
        <w:t>部门</w:t>
      </w:r>
      <w:r>
        <w:rPr>
          <w:rFonts w:hint="eastAsia" w:ascii="仿宋_GB2312" w:hAnsi="仿宋" w:eastAsia="仿宋_GB2312"/>
          <w:sz w:val="32"/>
          <w:szCs w:val="32"/>
        </w:rPr>
        <w:t>决算</w:t>
      </w:r>
      <w:r>
        <w:rPr>
          <w:rFonts w:hint="eastAsia" w:ascii="仿宋_GB2312" w:hAnsi="仿宋" w:eastAsia="仿宋_GB2312"/>
          <w:sz w:val="32"/>
          <w:szCs w:val="32"/>
          <w:lang w:eastAsia="zh-CN"/>
        </w:rPr>
        <w:t>实行决算公开；</w:t>
      </w:r>
      <w:r>
        <w:rPr>
          <w:rFonts w:hint="eastAsia" w:ascii="仿宋_GB2312" w:hAnsi="仿宋" w:eastAsia="仿宋_GB2312"/>
          <w:sz w:val="32"/>
          <w:szCs w:val="32"/>
        </w:rPr>
        <w:t>绩效信息</w:t>
      </w:r>
      <w:r>
        <w:rPr>
          <w:rFonts w:hint="eastAsia" w:ascii="仿宋_GB2312" w:hAnsi="仿宋" w:eastAsia="仿宋_GB2312"/>
          <w:sz w:val="32"/>
          <w:szCs w:val="32"/>
          <w:lang w:eastAsia="zh-CN"/>
        </w:rPr>
        <w:t>实行公开。</w:t>
      </w:r>
    </w:p>
    <w:p>
      <w:pPr>
        <w:snapToGrid w:val="0"/>
        <w:spacing w:line="520" w:lineRule="exact"/>
        <w:ind w:firstLine="640" w:firstLineChars="200"/>
        <w:rPr>
          <w:rFonts w:hint="eastAsia" w:ascii="仿宋_GB2312" w:hAnsi="仿宋" w:eastAsia="仿宋_GB2312"/>
          <w:sz w:val="32"/>
          <w:szCs w:val="32"/>
          <w:lang w:eastAsia="zh-CN"/>
        </w:rPr>
      </w:pPr>
    </w:p>
    <w:p>
      <w:pPr>
        <w:snapToGrid w:val="0"/>
        <w:spacing w:line="520" w:lineRule="exact"/>
        <w:ind w:firstLine="640" w:firstLineChars="200"/>
        <w:rPr>
          <w:rFonts w:hint="eastAsia" w:ascii="仿宋_GB2312" w:hAnsi="仿宋" w:eastAsia="仿宋_GB2312"/>
          <w:sz w:val="32"/>
          <w:szCs w:val="32"/>
          <w:lang w:eastAsia="zh-CN"/>
        </w:rPr>
      </w:pPr>
    </w:p>
    <w:p>
      <w:pPr>
        <w:snapToGrid w:val="0"/>
        <w:spacing w:line="520" w:lineRule="exact"/>
        <w:ind w:firstLine="2409" w:firstLineChars="600"/>
        <w:rPr>
          <w:rFonts w:hint="eastAsia" w:ascii="仿宋_GB2312" w:hAnsi="仿宋" w:eastAsia="仿宋_GB2312"/>
          <w:b/>
          <w:bCs/>
          <w:sz w:val="40"/>
          <w:szCs w:val="40"/>
          <w:lang w:eastAsia="zh-CN"/>
        </w:rPr>
      </w:pPr>
      <w:r>
        <w:rPr>
          <w:rFonts w:hint="eastAsia" w:ascii="仿宋_GB2312" w:hAnsi="仿宋" w:eastAsia="仿宋_GB2312"/>
          <w:b/>
          <w:bCs/>
          <w:sz w:val="40"/>
          <w:szCs w:val="40"/>
          <w:lang w:eastAsia="zh-CN"/>
        </w:rPr>
        <w:t>沅江市工伤保险服务中心</w:t>
      </w:r>
    </w:p>
    <w:p>
      <w:pPr>
        <w:snapToGrid w:val="0"/>
        <w:spacing w:line="520" w:lineRule="exact"/>
        <w:ind w:firstLine="2409" w:firstLineChars="600"/>
        <w:rPr>
          <w:rFonts w:hint="eastAsia" w:ascii="仿宋_GB2312" w:hAnsi="仿宋" w:eastAsia="仿宋_GB2312"/>
          <w:b/>
          <w:bCs/>
          <w:sz w:val="40"/>
          <w:szCs w:val="40"/>
          <w:lang w:eastAsia="zh-CN"/>
        </w:rPr>
      </w:pPr>
    </w:p>
    <w:p>
      <w:pPr>
        <w:snapToGrid w:val="0"/>
        <w:spacing w:line="520" w:lineRule="exact"/>
        <w:ind w:firstLine="2811" w:firstLineChars="700"/>
        <w:rPr>
          <w:rFonts w:hint="default" w:ascii="仿宋_GB2312" w:hAnsi="仿宋" w:eastAsia="仿宋_GB2312"/>
          <w:b/>
          <w:bCs/>
          <w:sz w:val="40"/>
          <w:szCs w:val="40"/>
          <w:lang w:val="en-US" w:eastAsia="zh-CN"/>
        </w:rPr>
      </w:pPr>
      <w:r>
        <w:rPr>
          <w:rFonts w:hint="eastAsia" w:ascii="仿宋_GB2312" w:hAnsi="仿宋" w:eastAsia="仿宋_GB2312"/>
          <w:b/>
          <w:bCs/>
          <w:sz w:val="40"/>
          <w:szCs w:val="40"/>
          <w:lang w:eastAsia="zh-CN"/>
        </w:rPr>
        <w:t>二</w:t>
      </w:r>
      <w:r>
        <w:rPr>
          <w:rFonts w:hint="eastAsia" w:ascii="仿宋_GB2312" w:hAnsi="仿宋" w:eastAsia="仿宋_GB2312"/>
          <w:b/>
          <w:bCs/>
          <w:sz w:val="40"/>
          <w:szCs w:val="40"/>
          <w:lang w:val="en-US" w:eastAsia="zh-CN"/>
        </w:rPr>
        <w:t>0二二年二月十七日</w:t>
      </w:r>
    </w:p>
    <w:p>
      <w:pPr>
        <w:snapToGrid w:val="0"/>
        <w:spacing w:line="520" w:lineRule="exact"/>
        <w:rPr>
          <w:rFonts w:hint="eastAsia" w:ascii="仿宋_GB2312" w:hAnsi="仿宋" w:eastAsia="仿宋_GB2312"/>
          <w:sz w:val="32"/>
          <w:szCs w:val="32"/>
        </w:rPr>
      </w:pPr>
    </w:p>
    <w:p>
      <w:pPr>
        <w:snapToGrid w:val="0"/>
        <w:rPr>
          <w:rFonts w:hint="eastAsia"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pPr>
        <w:snapToGrid w:val="0"/>
        <w:ind w:firstLine="640" w:firstLineChars="200"/>
        <w:jc w:val="center"/>
        <w:rPr>
          <w:rFonts w:hint="eastAsia" w:ascii="华文中宋" w:hAnsi="华文中宋" w:eastAsia="华文中宋"/>
          <w:sz w:val="32"/>
          <w:szCs w:val="32"/>
        </w:rPr>
      </w:pPr>
      <w:bookmarkStart w:id="4" w:name="YS060200"/>
    </w:p>
    <w:p>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4"/>
    <w:p>
      <w:pPr>
        <w:snapToGrid w:val="0"/>
        <w:ind w:firstLine="640" w:firstLineChars="200"/>
        <w:rPr>
          <w:rFonts w:hint="eastAsia" w:ascii="仿宋_GB2312" w:hAnsi="仿宋" w:eastAsia="仿宋_GB2312"/>
          <w:sz w:val="32"/>
          <w:szCs w:val="32"/>
        </w:rPr>
      </w:pPr>
    </w:p>
    <w:p>
      <w:pPr>
        <w:snapToGrid w:val="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5" w:name="YS060202"/>
      <w:r>
        <w:rPr>
          <w:rFonts w:hint="eastAsia" w:ascii="黑体" w:hAnsi="黑体" w:eastAsia="黑体"/>
          <w:sz w:val="32"/>
          <w:szCs w:val="32"/>
        </w:rPr>
        <w:t>二、事业单位财务分析指标</w:t>
      </w:r>
    </w:p>
    <w:bookmarkEnd w:id="5"/>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预算收入完成率＝年终执行数÷调整预算数×100%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预算支出完成率＝年终执行数÷调整预算数×100%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2</w:t>
    </w:r>
    <w:r>
      <w:rPr>
        <w:rFonts w:ascii="Arial" w:hAnsi="Arial" w:cs="Arial"/>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CBAF"/>
    <w:multiLevelType w:val="singleLevel"/>
    <w:tmpl w:val="0EDBCBA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ZTQxYmI1ODFhMzMxOTA0MzdmYjA1MGFlMTQ2OTAifQ=="/>
  </w:docVars>
  <w:rsids>
    <w:rsidRoot w:val="21987EED"/>
    <w:rsid w:val="0E5C239D"/>
    <w:rsid w:val="21987EED"/>
    <w:rsid w:val="4A9840A9"/>
    <w:rsid w:val="58770DB8"/>
    <w:rsid w:val="5AD32865"/>
    <w:rsid w:val="5B86380E"/>
    <w:rsid w:val="5FB2452E"/>
    <w:rsid w:val="634D1EBB"/>
    <w:rsid w:val="65532D27"/>
    <w:rsid w:val="7E52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1372</Words>
  <Characters>1509</Characters>
  <Lines>0</Lines>
  <Paragraphs>0</Paragraphs>
  <TotalTime>61</TotalTime>
  <ScaleCrop>false</ScaleCrop>
  <LinksUpToDate>false</LinksUpToDate>
  <CharactersWithSpaces>1538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2022-02-22T01:46:00Z</dcterms:created>
  <dc:creator>Administrator</dc:creator>
  <cp:lastModifiedBy>Administrator</cp:lastModifiedBy>
  <dcterms:modified xsi:type="dcterms:W3CDTF">2022-08-26T03:09:14Z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FA368038C8D74CD1A35C86068EDFC6BC</vt:lpwstr>
  </property>
</Properties>
</file>