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C" w:rsidRDefault="002E0AEC" w:rsidP="00AB6804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Times New Roman" w:hint="eastAsia"/>
          <w:color w:val="333333"/>
          <w:sz w:val="44"/>
          <w:szCs w:val="44"/>
        </w:rPr>
      </w:pPr>
    </w:p>
    <w:p w:rsidR="00AB6804" w:rsidRPr="00DD75FA" w:rsidRDefault="00AB6804" w:rsidP="00AB6804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Times New Roman"/>
          <w:color w:val="333333"/>
          <w:sz w:val="44"/>
          <w:szCs w:val="44"/>
        </w:rPr>
      </w:pPr>
      <w:r w:rsidRPr="00DD75FA">
        <w:rPr>
          <w:rFonts w:ascii="仿宋_GB2312" w:eastAsia="仿宋_GB2312" w:hAnsi="宋体" w:cs="Times New Roman" w:hint="eastAsia"/>
          <w:color w:val="333333"/>
          <w:sz w:val="44"/>
          <w:szCs w:val="44"/>
        </w:rPr>
        <w:t>2021年沅江市琼湖街道部门预算</w:t>
      </w:r>
    </w:p>
    <w:p w:rsidR="00AB6804" w:rsidRPr="00DD75FA" w:rsidRDefault="00AB6804" w:rsidP="00AB6804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Times New Roman"/>
          <w:color w:val="333333"/>
          <w:sz w:val="44"/>
          <w:szCs w:val="44"/>
        </w:rPr>
      </w:pPr>
    </w:p>
    <w:p w:rsidR="00AB6804" w:rsidRDefault="00AB6804" w:rsidP="00AB6804">
      <w:pPr>
        <w:widowControl/>
        <w:shd w:val="clear" w:color="auto" w:fill="FFFFFF"/>
        <w:spacing w:line="540" w:lineRule="atLeast"/>
        <w:ind w:firstLine="480"/>
        <w:jc w:val="center"/>
        <w:rPr>
          <w:rFonts w:ascii="宋体" w:eastAsia="宋体" w:hAnsi="宋体" w:cs="Times New Roman"/>
          <w:color w:val="333333"/>
          <w:sz w:val="44"/>
          <w:szCs w:val="44"/>
        </w:rPr>
      </w:pP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AB6804">
        <w:rPr>
          <w:rFonts w:ascii="仿宋_GB2312" w:eastAsia="仿宋_GB2312" w:hAnsi="宋体" w:cs="Times New Roman" w:hint="eastAsia"/>
          <w:color w:val="333333"/>
          <w:sz w:val="44"/>
          <w:szCs w:val="44"/>
        </w:rPr>
        <w:t>目</w:t>
      </w:r>
      <w:r w:rsidRPr="00AB6804">
        <w:rPr>
          <w:rFonts w:ascii="仿宋_GB2312" w:eastAsia="仿宋_GB2312" w:hAnsi="Calibri" w:cs="Times New Roman" w:hint="eastAsia"/>
          <w:color w:val="333333"/>
          <w:sz w:val="44"/>
          <w:szCs w:val="44"/>
        </w:rPr>
        <w:t xml:space="preserve"> </w:t>
      </w:r>
      <w:r w:rsidRPr="00AB6804">
        <w:rPr>
          <w:rFonts w:ascii="仿宋_GB2312" w:eastAsia="仿宋_GB2312" w:hAnsi="宋体" w:cs="Times New Roman" w:hint="eastAsia"/>
          <w:color w:val="333333"/>
          <w:sz w:val="44"/>
          <w:szCs w:val="44"/>
        </w:rPr>
        <w:t>录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72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D75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第一部分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2021年部门预算编制说明</w:t>
      </w:r>
    </w:p>
    <w:p w:rsidR="00AB6804" w:rsidRPr="00DD75FA" w:rsidRDefault="00AB6804" w:rsidP="00AB6804">
      <w:pPr>
        <w:widowControl/>
        <w:shd w:val="clear" w:color="auto" w:fill="FFFFFF"/>
        <w:spacing w:before="150" w:line="540" w:lineRule="atLeast"/>
        <w:ind w:left="72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D75FA">
        <w:rPr>
          <w:rFonts w:ascii="仿宋" w:eastAsia="仿宋" w:hAnsi="仿宋" w:cs="Times New Roman"/>
          <w:color w:val="000000"/>
          <w:kern w:val="0"/>
          <w:sz w:val="32"/>
          <w:szCs w:val="32"/>
        </w:rPr>
        <w:t>第二部分</w:t>
      </w:r>
      <w:r w:rsidRPr="00DD75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2021年部门预算表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D75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1、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部门收支总表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D75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2、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部门收入总表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D75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3、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部门支出总体情况表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4、部门支出总表（按部门预算经济分类）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5、部门支出总表（按政府预算经济分类）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6、基本支出预算明细表-工资福利支出（按部门预算经济分类）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7、基本支出预算明细表-工资福利支出（按政府预算经济分类）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8、基本支出预算明细表-商品和服务支出（按部门预算经济分类）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9、基本支出预算明细表-商品和服务支出（按政府预算经济分类）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10、基本支出预算明细表-对个人和家庭的补助（按部门预算经济分类）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11、基本支出预算明细表-对个人和家庭的补助（按政府预算经济分类）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12、财政拨款收支总体情况表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13、一般公共预算支出情况表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14、一般公共预算支出情况表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15、一般公共预算基本支出预算明细表-工资福利支出（按部门预算经济分类）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16、一般公共预算基本支出预算明细表-工资福利支出（按政府预算经济分类）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17、一般公共预算基本支出预算明细表-商品和服务支出（按部门预算经济分类）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18、一般公共预算基本支出预算明细表-商品和服务支出（按政府预算经济分类）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19、一般公共预算基本支出预算明细表-对个人和家庭的补助（按部门预算经济分类）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20、基本支出预算明细表-对个人和家庭的补助（按政府预算经济分类）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21、政府性基金拨款预算支出情况表（按部门预算经济分类）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22、政府性基金拨款预算支出情况表（按政府预算经济分类）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23、纳入专户管理的非税收入拨款预算支出情况表（按部门预算经济分类）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24、纳入专户管理的非税收入拨款预算支出情况表（按政府预算经济分类）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25、经费拨款预算支出情况表（按部门预算经济分类）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26、经费拨款预算支出情况表（按政府预算经济分类）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27、专项资金预算汇总表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28、一般公共预算“三公”经费预算表</w:t>
      </w: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29、2020年度单位项目支出预算绩效目标申报表</w:t>
      </w:r>
    </w:p>
    <w:p w:rsidR="00AB6804" w:rsidRPr="00DD75FA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30、2020年度部门整体支出预算绩效目标申报表</w:t>
      </w:r>
    </w:p>
    <w:p w:rsidR="00AB6804" w:rsidRPr="00DD75FA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宋体" w:eastAsia="宋体" w:hAnsi="宋体" w:cs="Times New Roman"/>
          <w:color w:val="333333"/>
          <w:sz w:val="32"/>
          <w:szCs w:val="32"/>
        </w:rPr>
      </w:pPr>
    </w:p>
    <w:p w:rsid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宋体" w:eastAsia="宋体" w:hAnsi="宋体" w:cs="Times New Roman"/>
          <w:color w:val="333333"/>
          <w:sz w:val="32"/>
          <w:szCs w:val="32"/>
        </w:rPr>
      </w:pPr>
    </w:p>
    <w:p w:rsidR="00AB6804" w:rsidRPr="00AB6804" w:rsidRDefault="00AB6804" w:rsidP="00AB6804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宋体" w:eastAsia="宋体" w:hAnsi="宋体" w:cs="Times New Roman"/>
          <w:color w:val="333333"/>
          <w:sz w:val="32"/>
          <w:szCs w:val="32"/>
        </w:rPr>
      </w:pPr>
    </w:p>
    <w:p w:rsidR="00AB6804" w:rsidRPr="00AB6804" w:rsidRDefault="00AB6804" w:rsidP="00AB6804">
      <w:pPr>
        <w:widowControl/>
        <w:shd w:val="clear" w:color="auto" w:fill="FFFFFF"/>
        <w:ind w:firstLine="2209"/>
        <w:jc w:val="left"/>
        <w:outlineLvl w:val="0"/>
        <w:rPr>
          <w:rFonts w:ascii="Helvetica" w:eastAsia="宋体" w:hAnsi="Helvetica" w:cs="Helvetica"/>
          <w:color w:val="333333"/>
          <w:kern w:val="36"/>
          <w:sz w:val="24"/>
          <w:szCs w:val="24"/>
        </w:rPr>
      </w:pP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</w:p>
    <w:p w:rsidR="00AB6804" w:rsidRPr="00AB6804" w:rsidRDefault="00AB6804" w:rsidP="00AB6804">
      <w:pPr>
        <w:widowControl/>
        <w:shd w:val="clear" w:color="auto" w:fill="FFFFFF"/>
        <w:ind w:firstLine="2209"/>
        <w:jc w:val="left"/>
        <w:outlineLvl w:val="0"/>
        <w:rPr>
          <w:rFonts w:ascii="Helvetica" w:eastAsia="宋体" w:hAnsi="Helvetica" w:cs="Helvetica"/>
          <w:color w:val="333333"/>
          <w:kern w:val="36"/>
          <w:sz w:val="24"/>
          <w:szCs w:val="24"/>
        </w:rPr>
      </w:pP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  <w:r w:rsidRPr="00AB6804">
        <w:rPr>
          <w:rFonts w:ascii="MS Mincho" w:eastAsia="MS Mincho" w:hAnsi="MS Mincho" w:cs="MS Mincho" w:hint="eastAsia"/>
          <w:b/>
          <w:bCs/>
          <w:color w:val="333333"/>
          <w:kern w:val="36"/>
          <w:sz w:val="44"/>
          <w:szCs w:val="44"/>
        </w:rPr>
        <w:t> 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404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第一部分</w:t>
      </w: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AB680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2021</w:t>
      </w:r>
      <w:r w:rsidRPr="00AB6804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年部门预算说明</w:t>
      </w:r>
      <w:r w:rsidRPr="00AB680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　　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  <w:shd w:val="clear" w:color="auto" w:fill="FFFFFF"/>
        </w:rPr>
        <w:t>根据湖南省财政厅部门预算公开的相关要求，现将沅江市琼湖街道办事处2021年部门预算编制说明如下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：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left="1200" w:hanging="7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一、 工作职责</w:t>
      </w:r>
    </w:p>
    <w:p w:rsidR="00AB6804" w:rsidRPr="00AB6804" w:rsidRDefault="00AB6804" w:rsidP="00AB6804">
      <w:pPr>
        <w:widowControl/>
        <w:shd w:val="clear" w:color="auto" w:fill="FFFFFF"/>
        <w:spacing w:line="52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琼湖街道办事处同全国其他镇镇政府一样，是国家最基层的政权机关和最基本的独立行政单元，具有执行国家意志的义务和保一方平安的责任，有促进地区经济发展，提供公共服务的职能。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firstLine="47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 xml:space="preserve">二、部门预算单位构成 </w:t>
      </w:r>
    </w:p>
    <w:p w:rsidR="00AB6804" w:rsidRPr="00AB6804" w:rsidRDefault="00AB6804" w:rsidP="00AB6804">
      <w:pPr>
        <w:widowControl/>
        <w:shd w:val="clear" w:color="auto" w:fill="FFFFFF"/>
        <w:spacing w:line="520" w:lineRule="atLeas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根据编委核定，我办事处设股室7个，所属事业单位5个，全部纳入2021年部门预算编制范围。 </w:t>
      </w:r>
    </w:p>
    <w:p w:rsidR="00AB6804" w:rsidRPr="00AB6804" w:rsidRDefault="00AB6804" w:rsidP="00AB6804">
      <w:pPr>
        <w:widowControl/>
        <w:shd w:val="clear" w:color="auto" w:fill="FFFFFF"/>
        <w:spacing w:line="52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三、部门预算人员构成</w:t>
      </w:r>
    </w:p>
    <w:p w:rsidR="00AB6804" w:rsidRPr="00AB6804" w:rsidRDefault="00AB6804" w:rsidP="00AB6804">
      <w:pPr>
        <w:widowControl/>
        <w:shd w:val="clear" w:color="auto" w:fill="FFFFFF"/>
        <w:spacing w:line="52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  <w:shd w:val="clear" w:color="auto" w:fill="FFFFFF"/>
        </w:rPr>
        <w:t>截止2020年12月（预算编制时间），我系统纳入部门预算编制207人。其中：实有在职人员179人，分流人员28人，离退休人员186人，遗属18人。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firstLine="47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四、2021年收支预算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2021年部门预算包括本级预算和所属单位预算在内的汇总情况。按照预算管理有关规定，部门预算的编制实行综合预算制度，即全部收入和支出都反映在预算中。支出情况分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别按资金来源、项目类别、功能分类科目和经济分类科目反映。</w:t>
      </w:r>
    </w:p>
    <w:p w:rsidR="00AB6804" w:rsidRDefault="00AB6804" w:rsidP="00AB6804"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（一）收入预算</w:t>
      </w:r>
    </w:p>
    <w:p w:rsidR="00AB6804" w:rsidRPr="00935401" w:rsidRDefault="00525C66" w:rsidP="00AB6804">
      <w:pPr>
        <w:widowControl/>
        <w:shd w:val="clear" w:color="auto" w:fill="FFFFFF"/>
        <w:spacing w:before="100" w:after="100" w:line="5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　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2021年单位预算收入2166.606万元，其中：一般公共预算拨款1900.306万元，纳入公共预算管理的非税拨款266.30万元</w:t>
      </w:r>
      <w:r w:rsidR="005A534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="003B6DB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我单位没有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政府性基金</w:t>
      </w:r>
      <w:r w:rsidR="003B6DB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预算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拨款</w:t>
      </w:r>
      <w:r w:rsidR="00897F6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纳入专户管理的非税收入</w:t>
      </w:r>
      <w:r w:rsidR="003B6DB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，也没有使用</w:t>
      </w:r>
      <w:r w:rsidR="003B6DBE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政府性基金</w:t>
      </w:r>
      <w:r w:rsidR="003B6DB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预算</w:t>
      </w:r>
      <w:r w:rsidR="003B6DBE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拨款</w:t>
      </w:r>
      <w:r w:rsid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</w:t>
      </w:r>
      <w:r w:rsidR="005A5342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纳入专户管理的非税收入</w:t>
      </w:r>
      <w:r w:rsidR="005A534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拨款安排的支出</w:t>
      </w:r>
      <w:r w:rsid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D351A6" w:rsidRP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所以公开的附件</w:t>
      </w:r>
      <w:r w:rsid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21</w:t>
      </w:r>
      <w:r w:rsidR="00D351A6" w:rsidRP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22</w:t>
      </w:r>
      <w:r w:rsidR="00D351A6" w:rsidRP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23、24</w:t>
      </w:r>
      <w:r w:rsidR="00D351A6" w:rsidRPr="00D351A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表均为空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="00AB6804"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收入较去年1902.475万增加264.131万元，主要是一般公共预算拨款增加126.481万元，纳入公共预算管理的非税拨款增加137.65万元，主要原因：新增考录公务员以及办事处中心工作任务需要。</w:t>
      </w:r>
    </w:p>
    <w:p w:rsidR="00AB6804" w:rsidRPr="00AB6804" w:rsidRDefault="00AB6804" w:rsidP="00AB6804">
      <w:pPr>
        <w:widowControl/>
        <w:shd w:val="clear" w:color="auto" w:fill="FFFFFF"/>
        <w:spacing w:before="100" w:after="100" w:line="56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（二）支出预算</w:t>
      </w:r>
    </w:p>
    <w:p w:rsidR="00AB6804" w:rsidRPr="00935401" w:rsidRDefault="00AB6804" w:rsidP="00AB6804">
      <w:pPr>
        <w:widowControl/>
        <w:shd w:val="clear" w:color="auto" w:fill="FFFFFF"/>
        <w:spacing w:before="100" w:after="100" w:line="560" w:lineRule="atLeast"/>
        <w:ind w:left="140" w:firstLine="428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2021年单位预算支出2166.606万元，</w:t>
      </w:r>
      <w:r w:rsidR="005865B6"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较上年增加264.131万元。</w:t>
      </w:r>
      <w:r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其中：</w:t>
      </w:r>
      <w:r w:rsidR="007C0513"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基本支出增加125.731万元，主要由于办事处</w:t>
      </w:r>
      <w:r w:rsidR="001A6033" w:rsidRPr="0093540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实有人数较上年有所增加；项目支出增加138.4万元，主要体现在创文工作经费增加。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按支出项目类别分：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基本支出1837.506万元，分别为：人员经费支出1630.606万元，公用经费支出206.90万元</w:t>
      </w:r>
      <w:r w:rsidR="003E1C1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主要是保障单位机构正常运转、完成日常工作任务而发生的各项支出，包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括用于基本工资、津贴补贴等人员经费以及办公费、印刷费、水电费、差旅费、会议费、培训费、公务接待费等日常公用经费。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项目支出329.10万元，其中: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防汛及维修项目支出50万元，主要用于防汛、维修等方面；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“机构运转保障支出”项目支出37.90万元，主要用于机构的日常运转，基本保障等方面；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机关信访综治维稳项目支出50万元，主要用于机关的信访处理、综治维稳等方面；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“征兵武装支出”项目支出5万元，主要用于征兵武装支出；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文化活动开支项目支出15万元，主要用于机关的文化活动；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创卫开支项目支出100万元，主要用于创文创卫等项目的开支；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扶贫经费项目支出10万元，主要用于扶贫任务的开支；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转移支付-死亡抚恤项目支出5.10万元，主要用于对去世老干部的抚恤金支出；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转移支付-计划生育项目支出35.70万元，主要用于计划生育开支；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转移支付-乡村道路建设项目支出10万元，主要用于乡村道路建设的开支；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转移支付-村级管理费项目支出10.40万元，主要用于各类村级管理项目的支出。</w:t>
      </w:r>
    </w:p>
    <w:p w:rsidR="00AB6804" w:rsidRPr="00AB6804" w:rsidRDefault="00713A79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="00AB6804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、按支出经济分类股目：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工资福利支出1621.276万元；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商品和服务支出206.900万元；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对个人和家庭的补助支出93.30万元；</w:t>
      </w:r>
    </w:p>
    <w:p w:rsidR="00AB6804" w:rsidRPr="00AB6804" w:rsidRDefault="00AB6804" w:rsidP="00AB6804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项目支出329.10万元；</w:t>
      </w:r>
    </w:p>
    <w:p w:rsidR="00AB6804" w:rsidRDefault="00AB6804" w:rsidP="00AB6804">
      <w:pPr>
        <w:widowControl/>
        <w:shd w:val="clear" w:color="auto" w:fill="FFFFFF"/>
        <w:spacing w:before="100" w:after="100" w:line="560" w:lineRule="atLeast"/>
        <w:ind w:firstLine="57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2021年全年收支预算平衡。</w:t>
      </w:r>
    </w:p>
    <w:p w:rsidR="008E5AE7" w:rsidRPr="008E5AE7" w:rsidRDefault="008E5AE7" w:rsidP="00713A79">
      <w:pPr>
        <w:widowControl/>
        <w:spacing w:line="600" w:lineRule="exact"/>
        <w:ind w:firstLineChars="98" w:firstLine="315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8E5AE7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（三）</w:t>
      </w:r>
      <w:r w:rsidRPr="008E5AE7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一般公共预算拨款支出</w:t>
      </w:r>
    </w:p>
    <w:p w:rsidR="008E5AE7" w:rsidRPr="008E5AE7" w:rsidRDefault="008E5AE7" w:rsidP="008E5AE7">
      <w:pPr>
        <w:widowControl/>
        <w:shd w:val="clear" w:color="auto" w:fill="FFFFFF"/>
        <w:spacing w:line="540" w:lineRule="atLeast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2021年单位的一般公共预算拨款</w:t>
      </w:r>
      <w:r w:rsidR="00FC765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支出2166.606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万元，</w:t>
      </w:r>
      <w:r w:rsidR="00FC765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其中</w:t>
      </w:r>
      <w:r w:rsidR="00BD07E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BD07EE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行政运行（政府办公厅（室）及相关机构事务） 1254.364万元</w:t>
      </w:r>
      <w:r w:rsidR="00BD07E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，占57.9%；</w:t>
      </w:r>
      <w:r w:rsidR="00BD07EE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一般行政管理事务（政府办公厅（室）及相关机构事务） 267.900万元</w:t>
      </w:r>
      <w:r w:rsidR="00BD07E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，占12.36%；</w:t>
      </w:r>
      <w:r w:rsidR="00E81D35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行政运行（财政事务） 87.585万元</w:t>
      </w:r>
      <w:r w:rsidR="00E81D3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，占4%；</w:t>
      </w:r>
      <w:r w:rsidR="00E81D35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行政运行（文化）37.981万元</w:t>
      </w:r>
      <w:r w:rsidR="00E81D3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，0.17%；</w:t>
      </w:r>
      <w:r w:rsidR="00E81D35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行政运行 4.682万元</w:t>
      </w:r>
      <w:r w:rsidR="00E81D3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0.</w:t>
      </w:r>
      <w:r w:rsidR="00E81D3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2%；</w:t>
      </w:r>
      <w:r w:rsidR="00E81D35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死亡抚恤 5.10万元</w:t>
      </w:r>
      <w:r w:rsidR="00E81D3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占0.23%；</w:t>
      </w:r>
      <w:r w:rsidR="008836BB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计划生育机构 216.874万元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，占10%；</w:t>
      </w:r>
      <w:r w:rsidR="008836BB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行政运行（农业）146.486万元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，占6.76%；</w:t>
      </w:r>
      <w:r w:rsidR="008836BB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农村道路建设 10万元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，占0.46%；</w:t>
      </w:r>
      <w:r w:rsidR="008836BB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对村民委员会和村党支部的补助10.40万元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713A7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占</w:t>
      </w:r>
      <w:r w:rsidR="008836B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0.48%</w:t>
      </w:r>
      <w:r w:rsidR="00713A7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；</w:t>
      </w:r>
      <w:r w:rsidR="00713A79"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住房公积金 125.234万元</w:t>
      </w:r>
      <w:r w:rsidR="00713A7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，5.78%。</w:t>
      </w:r>
    </w:p>
    <w:p w:rsidR="00AB6804" w:rsidRDefault="00AB6804" w:rsidP="00AB6804">
      <w:pPr>
        <w:widowControl/>
        <w:shd w:val="clear" w:color="auto" w:fill="FFFFFF"/>
        <w:spacing w:before="100" w:after="100" w:line="560" w:lineRule="atLeast"/>
        <w:ind w:firstLine="472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五、其他重要事项</w:t>
      </w:r>
    </w:p>
    <w:p w:rsidR="000E7EF4" w:rsidRDefault="000E7EF4" w:rsidP="00737A9B">
      <w:pPr>
        <w:widowControl/>
        <w:spacing w:line="600" w:lineRule="exact"/>
        <w:ind w:firstLineChars="150" w:firstLine="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lastRenderedPageBreak/>
        <w:t>（一）机关运行经费</w:t>
      </w:r>
    </w:p>
    <w:p w:rsidR="000E7EF4" w:rsidRPr="000E7EF4" w:rsidRDefault="000E7EF4" w:rsidP="000E7EF4">
      <w:pPr>
        <w:widowControl/>
        <w:spacing w:line="600" w:lineRule="exact"/>
        <w:ind w:firstLine="66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2021年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</w:rPr>
        <w:t>本单位</w:t>
      </w: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的机关运行经费</w:t>
      </w:r>
      <w:r w:rsidR="00737A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206.90</w:t>
      </w: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万元，比上年预算</w:t>
      </w:r>
      <w:r w:rsidR="00737A9B">
        <w:rPr>
          <w:rFonts w:ascii="仿宋" w:eastAsia="仿宋" w:hAnsi="仿宋" w:cs="Times New Roman"/>
          <w:color w:val="000000"/>
          <w:kern w:val="0"/>
          <w:sz w:val="32"/>
          <w:szCs w:val="32"/>
        </w:rPr>
        <w:t>增加</w:t>
      </w:r>
      <w:r w:rsidR="00737A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8.25</w:t>
      </w: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万元，</w:t>
      </w:r>
      <w:r w:rsidR="00737A9B">
        <w:rPr>
          <w:rFonts w:ascii="仿宋" w:eastAsia="仿宋" w:hAnsi="仿宋" w:cs="Times New Roman"/>
          <w:color w:val="000000"/>
          <w:kern w:val="0"/>
          <w:sz w:val="32"/>
          <w:szCs w:val="32"/>
        </w:rPr>
        <w:t>增加</w:t>
      </w:r>
      <w:r w:rsidR="00737A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4.15</w:t>
      </w: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%，主要是</w:t>
      </w:r>
      <w:r w:rsidRPr="000E7EF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我单位</w:t>
      </w:r>
      <w:r w:rsidR="00737A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人员变动导致</w:t>
      </w:r>
      <w:r w:rsidRPr="000E7EF4">
        <w:rPr>
          <w:rFonts w:ascii="仿宋" w:eastAsia="仿宋" w:hAnsi="仿宋" w:cs="Times New Roman"/>
          <w:color w:val="000000"/>
          <w:kern w:val="0"/>
          <w:sz w:val="32"/>
          <w:szCs w:val="32"/>
        </w:rPr>
        <w:t>。</w:t>
      </w:r>
    </w:p>
    <w:p w:rsidR="00AB6804" w:rsidRPr="008E5AE7" w:rsidRDefault="00AB6804" w:rsidP="008E5AE7">
      <w:pPr>
        <w:widowControl/>
        <w:shd w:val="clear" w:color="auto" w:fill="FFFFFF"/>
        <w:spacing w:line="54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(</w:t>
      </w:r>
      <w:r w:rsidR="00737A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二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）</w:t>
      </w:r>
      <w:r w:rsidR="008E5AE7" w:rsidRPr="00AB6804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“三公”经费情况</w:t>
      </w:r>
    </w:p>
    <w:p w:rsidR="00AB6804" w:rsidRDefault="00AB6804" w:rsidP="00AB6804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2021年，我系统 “三公”经费财政拨款预算数17.60万元，其中：公务接待费11万元，公务用车购置费用6.6万元，其中：公务用车购置费0元，公务用车运行维护费6.6万元。同比上年减少1.6万元，减少原因厉行节约。</w:t>
      </w:r>
    </w:p>
    <w:p w:rsidR="0024250F" w:rsidRDefault="0024250F" w:rsidP="0024250F">
      <w:pPr>
        <w:spacing w:line="600" w:lineRule="exact"/>
        <w:ind w:firstLineChars="150"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24250F">
        <w:rPr>
          <w:rFonts w:ascii="仿宋" w:eastAsia="仿宋" w:hAnsi="仿宋" w:cs="Times New Roman"/>
          <w:color w:val="000000"/>
          <w:kern w:val="0"/>
          <w:sz w:val="32"/>
          <w:szCs w:val="32"/>
        </w:rPr>
        <w:t>（三）一般性支出情况</w:t>
      </w:r>
    </w:p>
    <w:p w:rsidR="0024250F" w:rsidRPr="0024250F" w:rsidRDefault="0024250F" w:rsidP="0024250F">
      <w:pPr>
        <w:spacing w:line="600" w:lineRule="exact"/>
        <w:ind w:firstLineChars="150"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695B45">
        <w:rPr>
          <w:rFonts w:ascii="仿宋" w:eastAsia="仿宋" w:hAnsi="仿宋" w:cs="Times New Roman"/>
          <w:color w:val="000000"/>
          <w:kern w:val="0"/>
          <w:sz w:val="32"/>
          <w:szCs w:val="32"/>
        </w:rPr>
        <w:t>2021年本部门会议费预算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28.496</w:t>
      </w:r>
      <w:r w:rsidRPr="00695B45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万元，拟召开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2021年经济工作、</w:t>
      </w:r>
      <w:r w:rsidR="00695B45"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防汛、疫情防控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等会议，人数约</w:t>
      </w:r>
      <w:r w:rsidR="007B129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600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人次，主要包含传达</w:t>
      </w:r>
      <w:r w:rsidR="00695B45"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2021年经济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工作布置</w:t>
      </w:r>
      <w:r w:rsidR="00695B45"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、夏季防汛及疫情防控工作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等内容；未计划举办节庆、晚会、</w:t>
      </w:r>
      <w:r w:rsidRPr="00695B45">
        <w:rPr>
          <w:rFonts w:ascii="仿宋" w:eastAsia="仿宋" w:hAnsi="仿宋" w:cs="Times New Roman"/>
          <w:color w:val="000000"/>
          <w:kern w:val="0"/>
          <w:sz w:val="32"/>
          <w:szCs w:val="32"/>
        </w:rPr>
        <w:t>论坛、赛事</w:t>
      </w:r>
      <w:r w:rsidRPr="00695B4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活动。</w:t>
      </w:r>
    </w:p>
    <w:p w:rsidR="00B63B05" w:rsidRPr="00F17C0B" w:rsidRDefault="00B63B05" w:rsidP="002A3CD4">
      <w:pPr>
        <w:widowControl/>
        <w:spacing w:line="600" w:lineRule="exact"/>
        <w:ind w:firstLineChars="150"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（</w:t>
      </w:r>
      <w:r w:rsidR="0024250F"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四</w:t>
      </w: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）政府采购情况</w:t>
      </w:r>
    </w:p>
    <w:p w:rsidR="00B63B05" w:rsidRPr="00B63B05" w:rsidRDefault="00B63B05" w:rsidP="00B63B05">
      <w:pPr>
        <w:widowControl/>
        <w:spacing w:line="600" w:lineRule="exact"/>
        <w:ind w:firstLine="6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2021年本单位政府采购预算总额</w:t>
      </w:r>
      <w:r w:rsidR="00F17C0B" w:rsidRPr="00F17C0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</w:t>
      </w: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万元，其中，货物类采购预算</w:t>
      </w:r>
      <w:r w:rsidRPr="00F17C0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</w:t>
      </w: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万元；工程类采购预算</w:t>
      </w:r>
      <w:r w:rsidR="00F17C0B" w:rsidRPr="00F17C0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</w:t>
      </w: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万元；服务类采购预算</w:t>
      </w:r>
      <w:r w:rsidR="000A571B" w:rsidRPr="00F17C0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</w:t>
      </w:r>
      <w:r w:rsidRPr="00F17C0B">
        <w:rPr>
          <w:rFonts w:ascii="仿宋" w:eastAsia="仿宋" w:hAnsi="仿宋" w:cs="Times New Roman"/>
          <w:color w:val="000000"/>
          <w:kern w:val="0"/>
          <w:sz w:val="32"/>
          <w:szCs w:val="32"/>
        </w:rPr>
        <w:t>万元。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</w:t>
      </w:r>
      <w:r w:rsidR="0024250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五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）国有资产占用使用情况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截止2020年12月30日，我单位共有车辆1辆，价值25万元；电脑72台，价值29.7997万元；专用设备2台，价值0.6625万元等等，资产总价值472.290851万元。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</w:t>
      </w:r>
      <w:r w:rsidR="0024250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六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）预算绩效评价情况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2021年度，本部门整体支出和项目支出实行绩效目标管理，纳入2021年部门整体支出绩效目标的金额2166.606万元，其中，基本支出1837.506万元，项目支出329.10万元。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转移支付-计划生育项目绩效评价：项目金额35.70万元，完成有效保证转移支付-计划生育目标。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转移支付-乡村道路项目绩效评价：项目金额10万元，完成有效保证转移支付-乡村道路正常运转目标。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综治维稳项目绩效评价：项目金额50万元，完成有效保证综治维稳运转目标；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文化活动项目绩效评价：项目金额15万元，完成有效保证文化活动运转目标；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转移支付-抚恤项目绩效评价：项目金额5.1万元，完成有效保证转移支付-抚恤运转目标；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防汛抗旱项目绩效评价：项目金额50万元，完成有效保证防汛抗旱运转目标；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转移支付-村级管理项目绩效评价：项目金额10.40万元，完成有效保证转移支付-村级管理运转目标；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创卫开支项目绩效评价：项目金额100万元，完成有效保证创卫目标；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精准扶贫项目绩效评价：项目金额10万元，完成有效保证精准扶贫运转目标；</w:t>
      </w:r>
    </w:p>
    <w:p w:rsidR="00AB6804" w:rsidRPr="00AB6804" w:rsidRDefault="00AB6804" w:rsidP="00AB6804">
      <w:pPr>
        <w:widowControl/>
        <w:shd w:val="clear" w:color="auto" w:fill="FFFFFF"/>
        <w:spacing w:line="524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征兵武装支出项目绩效评价：项目金额5万元，完成有效保证武装征兵工作运转目标；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机构运转保障项目绩效评价：项目金额37.90万元，完成有效保证机构运转目标。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643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六、名词解释</w:t>
      </w:r>
      <w:r w:rsidRPr="00AB680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 xml:space="preserve"> 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 xml:space="preserve">　　</w:t>
      </w: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</w:p>
    <w:p w:rsidR="00AB6804" w:rsidRPr="00AB6804" w:rsidRDefault="00AB6804" w:rsidP="00AB6804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B680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</w:t>
      </w:r>
    </w:p>
    <w:p w:rsidR="00AB6804" w:rsidRPr="00AB6804" w:rsidRDefault="00AB6804"/>
    <w:sectPr w:rsidR="00AB6804" w:rsidRPr="00AB6804" w:rsidSect="001B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2C" w:rsidRDefault="00696E2C" w:rsidP="005865B6">
      <w:r>
        <w:separator/>
      </w:r>
    </w:p>
  </w:endnote>
  <w:endnote w:type="continuationSeparator" w:id="1">
    <w:p w:rsidR="00696E2C" w:rsidRDefault="00696E2C" w:rsidP="0058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2C" w:rsidRDefault="00696E2C" w:rsidP="005865B6">
      <w:r>
        <w:separator/>
      </w:r>
    </w:p>
  </w:footnote>
  <w:footnote w:type="continuationSeparator" w:id="1">
    <w:p w:rsidR="00696E2C" w:rsidRDefault="00696E2C" w:rsidP="00586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804"/>
    <w:rsid w:val="000076BC"/>
    <w:rsid w:val="000A571B"/>
    <w:rsid w:val="000E7EF4"/>
    <w:rsid w:val="001637EF"/>
    <w:rsid w:val="001A6033"/>
    <w:rsid w:val="001B41C7"/>
    <w:rsid w:val="0024250F"/>
    <w:rsid w:val="0026128D"/>
    <w:rsid w:val="002A3CD4"/>
    <w:rsid w:val="002E0AEC"/>
    <w:rsid w:val="003B6DBE"/>
    <w:rsid w:val="003E1C19"/>
    <w:rsid w:val="00525C66"/>
    <w:rsid w:val="005865B6"/>
    <w:rsid w:val="005A5342"/>
    <w:rsid w:val="00695B45"/>
    <w:rsid w:val="00696E2C"/>
    <w:rsid w:val="00713A79"/>
    <w:rsid w:val="00737A9B"/>
    <w:rsid w:val="007B1293"/>
    <w:rsid w:val="007C0513"/>
    <w:rsid w:val="007E6474"/>
    <w:rsid w:val="008110D2"/>
    <w:rsid w:val="008836BB"/>
    <w:rsid w:val="00897F66"/>
    <w:rsid w:val="008E5AE7"/>
    <w:rsid w:val="00935401"/>
    <w:rsid w:val="00AB6804"/>
    <w:rsid w:val="00B41EB2"/>
    <w:rsid w:val="00B63B05"/>
    <w:rsid w:val="00B73287"/>
    <w:rsid w:val="00B865CA"/>
    <w:rsid w:val="00BD07EE"/>
    <w:rsid w:val="00D25E11"/>
    <w:rsid w:val="00D351A6"/>
    <w:rsid w:val="00D81C0E"/>
    <w:rsid w:val="00DD75FA"/>
    <w:rsid w:val="00E81D35"/>
    <w:rsid w:val="00F17C0B"/>
    <w:rsid w:val="00F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6804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6804"/>
    <w:rPr>
      <w:rFonts w:ascii="宋体" w:eastAsia="宋体" w:hAnsi="宋体" w:cs="宋体"/>
      <w:kern w:val="36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8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2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591</Words>
  <Characters>3374</Characters>
  <Application>Microsoft Office Word</Application>
  <DocSecurity>0</DocSecurity>
  <Lines>28</Lines>
  <Paragraphs>7</Paragraphs>
  <ScaleCrop>false</ScaleCrop>
  <Company>微软用户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2021-12-06T01:12:00Z</dcterms:created>
  <dcterms:modified xsi:type="dcterms:W3CDTF">2021-12-06T08:07:00Z</dcterms:modified>
</cp:coreProperties>
</file>