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A9" w:rsidRDefault="00CF2EA9">
      <w:pPr>
        <w:jc w:val="center"/>
        <w:rPr>
          <w:rFonts w:ascii="Calibri Light"/>
          <w:sz w:val="44"/>
          <w:szCs w:val="44"/>
        </w:rPr>
      </w:pPr>
      <w:r>
        <w:rPr>
          <w:rFonts w:ascii="Calibri Light" w:hint="eastAsia"/>
          <w:sz w:val="44"/>
          <w:szCs w:val="44"/>
        </w:rPr>
        <w:t>目</w:t>
      </w:r>
      <w:r>
        <w:rPr>
          <w:rFonts w:ascii="Calibri Light"/>
          <w:sz w:val="44"/>
          <w:szCs w:val="44"/>
        </w:rPr>
        <w:t xml:space="preserve">  </w:t>
      </w:r>
      <w:r>
        <w:rPr>
          <w:rFonts w:ascii="Calibri Light" w:hint="eastAsia"/>
          <w:sz w:val="44"/>
          <w:szCs w:val="44"/>
        </w:rPr>
        <w:t>录</w:t>
      </w:r>
    </w:p>
    <w:p w:rsidR="00CF2EA9" w:rsidRDefault="00CF2EA9">
      <w:pPr>
        <w:rPr>
          <w:rFonts w:ascii="宋体"/>
          <w:sz w:val="44"/>
          <w:szCs w:val="44"/>
        </w:rPr>
      </w:pPr>
    </w:p>
    <w:p w:rsidR="00CF2EA9" w:rsidRDefault="00CF2EA9">
      <w:pPr>
        <w:pStyle w:val="ListParagraph"/>
        <w:numPr>
          <w:ilvl w:val="0"/>
          <w:numId w:val="1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沅江市农业农村局</w:t>
      </w:r>
      <w:r>
        <w:rPr>
          <w:rFonts w:ascii="宋体" w:hAnsi="宋体"/>
          <w:sz w:val="32"/>
          <w:szCs w:val="32"/>
        </w:rPr>
        <w:t>2021</w:t>
      </w:r>
      <w:r>
        <w:rPr>
          <w:rFonts w:ascii="宋体" w:hAnsi="宋体" w:hint="eastAsia"/>
          <w:sz w:val="32"/>
          <w:szCs w:val="32"/>
        </w:rPr>
        <w:t>年部门预算编制说明</w:t>
      </w:r>
    </w:p>
    <w:p w:rsidR="00CF2EA9" w:rsidRDefault="00CF2EA9">
      <w:pPr>
        <w:pStyle w:val="ListParagraph"/>
        <w:numPr>
          <w:ilvl w:val="0"/>
          <w:numId w:val="1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2021</w:t>
      </w:r>
      <w:r>
        <w:rPr>
          <w:rFonts w:ascii="宋体" w:hAnsi="宋体" w:hint="eastAsia"/>
          <w:sz w:val="32"/>
          <w:szCs w:val="32"/>
        </w:rPr>
        <w:t>年市沅江市农业农村局部门预算公开表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部门收支总表，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部门收入总表，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部门支出总体情况表，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部门支出总表（按部门预算经济分类），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部门支出总表（按政府预算经济分类），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工资福利支出（按部门预算经济分类），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工资福利支出（按政府预算经济分类），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商品和服务支出（按部门预算经济分类），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商品和服务支出（按政府预算经济分类），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对个人和家庭的补助（按部门预算经济分类），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对个人和家庭的补助（按政府预算经济分类），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财政拨款收支总体情况表，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一般公共预算支出情况表，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一般公共预算支出情况表，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一般公共预算基本支出预算明细表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工资福利支出（按部门预算经济分类），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一般公共预算基本支出预算明细表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工资福利支出（按政府预算经济分类），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一般公共预算基本支出预算明细表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商品和服务支出（按部门预算经济分类），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一般公共预算基本支出预算明细表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商品和服务支出（按政府预算经济分类），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一般公共预算基本支出预算明细表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对个人和家庭的补助（按部门预算经济分类），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基本支出预算明细表</w:t>
      </w:r>
      <w:r>
        <w:rPr>
          <w:rFonts w:ascii="宋体"/>
          <w:sz w:val="32"/>
          <w:szCs w:val="32"/>
        </w:rPr>
        <w:t>-</w:t>
      </w:r>
      <w:r>
        <w:rPr>
          <w:rFonts w:ascii="宋体" w:hAnsi="宋体" w:hint="eastAsia"/>
          <w:sz w:val="32"/>
          <w:szCs w:val="32"/>
        </w:rPr>
        <w:t>对个人和家庭的补助（按政府预算经济分类），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政府性基金拨款预算支出情况表（按部门预算经济分类），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政府性基金拨款预算支出情况表（按政府预算经济分类），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纳入专户管理的非税收入拨款预算支出情况表（按部门预算经济分类），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纳入专户管理的非税收入拨款预算支出情况表（按政府预算经济分类），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经费拨款预算支出情况表（按部门预算经济分类），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经费拨款预算支出情况表（按政府预算经济分类），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专项资金预算汇总表，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一般公共预算“三公”经费预算表。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2021</w:t>
      </w:r>
      <w:r>
        <w:rPr>
          <w:rFonts w:ascii="宋体" w:hAnsi="宋体" w:hint="eastAsia"/>
          <w:sz w:val="32"/>
          <w:szCs w:val="32"/>
        </w:rPr>
        <w:t>年度单位项目支出预算绩效目标申报表</w:t>
      </w:r>
    </w:p>
    <w:p w:rsidR="00CF2EA9" w:rsidRDefault="00CF2EA9">
      <w:pPr>
        <w:pStyle w:val="ListParagraph"/>
        <w:numPr>
          <w:ilvl w:val="0"/>
          <w:numId w:val="2"/>
        </w:numPr>
        <w:ind w:firstLineChars="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202</w:t>
      </w:r>
      <w:bookmarkStart w:id="0" w:name="_GoBack"/>
      <w:bookmarkEnd w:id="0"/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年度部门整体支出预算绩效目标申报表</w:t>
      </w:r>
    </w:p>
    <w:p w:rsidR="00CF2EA9" w:rsidRDefault="00CF2EA9">
      <w:pPr>
        <w:pStyle w:val="NormalWeb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="宋体"/>
          <w:kern w:val="2"/>
          <w:sz w:val="32"/>
          <w:szCs w:val="32"/>
        </w:rPr>
      </w:pPr>
    </w:p>
    <w:p w:rsidR="00CF2EA9" w:rsidRPr="00A533C4" w:rsidRDefault="00CF2EA9" w:rsidP="00671994">
      <w:pPr>
        <w:rPr>
          <w:sz w:val="32"/>
          <w:szCs w:val="30"/>
        </w:rPr>
      </w:pPr>
      <w:r>
        <w:rPr>
          <w:rFonts w:hint="eastAsia"/>
          <w:sz w:val="32"/>
          <w:szCs w:val="30"/>
        </w:rPr>
        <w:t>注：以上部门预算报表中，空表表示本部门无相关收支情况。</w:t>
      </w:r>
    </w:p>
    <w:p w:rsidR="00CF2EA9" w:rsidRDefault="00CF2EA9"/>
    <w:sectPr w:rsidR="00CF2EA9" w:rsidSect="00FC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7529"/>
    <w:multiLevelType w:val="multilevel"/>
    <w:tmpl w:val="3ED77529"/>
    <w:lvl w:ilvl="0">
      <w:start w:val="1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791A3593"/>
    <w:multiLevelType w:val="multilevel"/>
    <w:tmpl w:val="791A3593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DC07DBF"/>
    <w:rsid w:val="00083D2F"/>
    <w:rsid w:val="00216963"/>
    <w:rsid w:val="004F023A"/>
    <w:rsid w:val="005128FD"/>
    <w:rsid w:val="00671994"/>
    <w:rsid w:val="00730B04"/>
    <w:rsid w:val="009A3125"/>
    <w:rsid w:val="00A41305"/>
    <w:rsid w:val="00A533C4"/>
    <w:rsid w:val="00CF2EA9"/>
    <w:rsid w:val="00FC6D1C"/>
    <w:rsid w:val="164D2376"/>
    <w:rsid w:val="1DA97F39"/>
    <w:rsid w:val="2EBF5F1F"/>
    <w:rsid w:val="4C752B14"/>
    <w:rsid w:val="6DC0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C6D1C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C6D1C"/>
    <w:pPr>
      <w:spacing w:beforeAutospacing="1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FC6D1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C6D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122</Words>
  <Characters>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2020-08-25T08:11:00Z</dcterms:created>
  <dcterms:modified xsi:type="dcterms:W3CDTF">2021-12-06T02:41:00Z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