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bookmarkStart w:id="0" w:name="_GoBack"/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沅江市婚姻登记服务中心</w:t>
      </w:r>
      <w:bookmarkEnd w:id="0"/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43447E14"/>
    <w:rsid w:val="4C752B14"/>
    <w:rsid w:val="641E1928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2021-12-06T01:58:06Z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78AEE46D82FB44A6831F7BB6206F96ED</vt:lpwstr>
  </property>
</Properties>
</file>