
<file path=[Content_Types].xml><?xml version="1.0" encoding="utf-8"?>
<Types xmlns="http://schemas.openxmlformats.org/package/2006/content-types">
  <Default Extension="xml" ContentType="application/xml"/>
  <Default Extension="xls" ContentType="application/vnd.ms-exce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rFonts w:hint="eastAsia"/>
          <w:sz w:val="72"/>
          <w:szCs w:val="72"/>
        </w:rPr>
      </w:pPr>
    </w:p>
    <w:p>
      <w:pPr>
        <w:jc w:val="center"/>
        <w:rPr>
          <w:sz w:val="72"/>
          <w:szCs w:val="72"/>
        </w:rPr>
      </w:pPr>
      <w:r>
        <w:rPr>
          <w:rFonts w:hint="eastAsia"/>
          <w:sz w:val="72"/>
          <w:szCs w:val="72"/>
        </w:rPr>
        <w:t>第</w:t>
      </w:r>
      <w:r>
        <w:rPr>
          <w:rFonts w:hint="eastAsia"/>
          <w:sz w:val="72"/>
          <w:szCs w:val="72"/>
          <w:lang w:eastAsia="zh-CN"/>
        </w:rPr>
        <w:t>三</w:t>
      </w:r>
      <w:r>
        <w:rPr>
          <w:rFonts w:hint="eastAsia"/>
          <w:sz w:val="72"/>
          <w:szCs w:val="72"/>
        </w:rPr>
        <w:t>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jc w:val="center"/>
        <w:rPr>
          <w:rFonts w:ascii="黑体" w:hAnsi="黑体" w:eastAsia="黑体"/>
          <w:sz w:val="28"/>
          <w:szCs w:val="28"/>
        </w:rPr>
      </w:pPr>
      <w:bookmarkStart w:id="0" w:name="_MON_1690873778"/>
      <w:bookmarkEnd w:id="0"/>
      <w:r>
        <w:rPr>
          <w:rFonts w:ascii="黑体" w:hAnsi="黑体" w:eastAsia="黑体"/>
          <w:sz w:val="28"/>
          <w:szCs w:val="28"/>
        </w:rPr>
        <w:object>
          <v:shape id="_x0000_i1025" o:spt="75" type="#_x0000_t75" style="height:415.4pt;width:576pt;" o:ole="t" filled="f" o:preferrelative="t" stroked="f" coordsize="21600,21600">
            <v:path/>
            <v:fill on="f" focussize="0,0"/>
            <v:stroke on="f" joinstyle="miter"/>
            <v:imagedata r:id="rId5" o:title=""/>
            <o:lock v:ext="edit" aspectratio="t"/>
            <w10:wrap type="none"/>
            <w10:anchorlock/>
          </v:shape>
          <o:OLEObject Type="Embed" ProgID="Excel.Sheet.8" ShapeID="_x0000_i1025" DrawAspect="Content" ObjectID="_1468075725" r:id="rId4">
            <o:LockedField>false</o:LockedField>
          </o:OLEObject>
        </w:object>
      </w:r>
    </w:p>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pPr w:leftFromText="180" w:rightFromText="180" w:vertAnchor="page" w:horzAnchor="margin" w:tblpY="1251"/>
        <w:tblW w:w="15428" w:type="dxa"/>
        <w:tblInd w:w="0" w:type="dxa"/>
        <w:tblLayout w:type="autofit"/>
        <w:tblCellMar>
          <w:top w:w="0" w:type="dxa"/>
          <w:left w:w="0" w:type="dxa"/>
          <w:bottom w:w="0" w:type="dxa"/>
          <w:right w:w="0" w:type="dxa"/>
        </w:tblCellMar>
      </w:tblPr>
      <w:tblGrid>
        <w:gridCol w:w="15428"/>
      </w:tblGrid>
      <w:tr>
        <w:tblPrEx>
          <w:tblCellMar>
            <w:top w:w="0" w:type="dxa"/>
            <w:left w:w="0" w:type="dxa"/>
            <w:bottom w:w="0" w:type="dxa"/>
            <w:right w:w="0" w:type="dxa"/>
          </w:tblCellMar>
        </w:tblPrEx>
        <w:trPr>
          <w:trHeight w:val="1049" w:hRule="atLeast"/>
        </w:trPr>
        <w:tc>
          <w:tcPr>
            <w:tcW w:w="15428"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宋体" w:hAnsi="宋体" w:eastAsia="宋体" w:cs="宋体"/>
                <w:color w:val="000000"/>
                <w:kern w:val="0"/>
                <w:sz w:val="30"/>
                <w:szCs w:val="30"/>
              </w:rPr>
            </w:pPr>
          </w:p>
          <w:p>
            <w:pPr>
              <w:jc w:val="center"/>
              <w:rPr>
                <w:rFonts w:ascii="宋体" w:hAnsi="宋体" w:eastAsia="宋体" w:cs="宋体"/>
                <w:color w:val="000000"/>
                <w:kern w:val="0"/>
                <w:sz w:val="30"/>
                <w:szCs w:val="30"/>
              </w:rPr>
            </w:pPr>
            <w:r>
              <w:rPr>
                <w:rFonts w:ascii="宋体" w:hAnsi="宋体" w:eastAsia="宋体" w:cs="宋体"/>
                <w:color w:val="000000"/>
                <w:kern w:val="0"/>
                <w:sz w:val="30"/>
                <w:szCs w:val="30"/>
              </w:rPr>
              <w:object>
                <v:shape id="_x0000_i1026" o:spt="75" type="#_x0000_t75" style="height:300pt;width:663.7pt;" o:ole="t" filled="f" o:preferrelative="t" stroked="f" coordsize="21600,21600">
                  <v:path/>
                  <v:fill on="f" focussize="0,0"/>
                  <v:stroke on="f" joinstyle="miter"/>
                  <v:imagedata r:id="rId7" o:title=""/>
                  <o:lock v:ext="edit" aspectratio="t"/>
                  <w10:wrap type="none"/>
                  <w10:anchorlock/>
                </v:shape>
                <o:OLEObject Type="Embed" ProgID="Excel.Sheet.8" ShapeID="_x0000_i1026" DrawAspect="Content" ObjectID="_1468075726" r:id="rId6">
                  <o:LockedField>false</o:LockedField>
                </o:OLEObject>
              </w:object>
            </w:r>
          </w:p>
          <w:p>
            <w:pPr>
              <w:jc w:val="center"/>
              <w:rPr>
                <w:rFonts w:ascii="华文中宋" w:hAnsi="华文中宋" w:eastAsia="华文中宋" w:cs="宋体"/>
                <w:color w:val="000000"/>
                <w:sz w:val="32"/>
                <w:szCs w:val="32"/>
              </w:rPr>
            </w:pPr>
          </w:p>
        </w:tc>
      </w:tr>
      <w:tr>
        <w:tblPrEx>
          <w:tblCellMar>
            <w:top w:w="0" w:type="dxa"/>
            <w:left w:w="0" w:type="dxa"/>
            <w:bottom w:w="0" w:type="dxa"/>
            <w:right w:w="0" w:type="dxa"/>
          </w:tblCellMar>
        </w:tblPrEx>
        <w:trPr>
          <w:trHeight w:val="615" w:hRule="atLeast"/>
        </w:trPr>
        <w:tc>
          <w:tcPr>
            <w:tcW w:w="15428" w:type="dxa"/>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center"/>
        <w:rPr>
          <w:rFonts w:ascii="Times New Roman" w:hAnsi="Times New Roman" w:eastAsia="黑体" w:cs="Times New Roman"/>
          <w:bCs/>
          <w:kern w:val="0"/>
          <w:sz w:val="32"/>
          <w:szCs w:val="32"/>
        </w:rPr>
      </w:pPr>
      <w:bookmarkStart w:id="1" w:name="_MON_1690872773"/>
      <w:bookmarkEnd w:id="1"/>
      <w:r>
        <w:rPr>
          <w:rFonts w:ascii="Times New Roman" w:hAnsi="Times New Roman" w:eastAsia="黑体" w:cs="Times New Roman"/>
          <w:bCs/>
          <w:kern w:val="0"/>
          <w:sz w:val="32"/>
          <w:szCs w:val="32"/>
        </w:rPr>
        <w:object>
          <v:shape id="_x0000_i1027" o:spt="75" type="#_x0000_t75" style="height:307.4pt;width:658.15pt;" o:ole="t" filled="f" o:preferrelative="t" stroked="f" coordsize="21600,21600">
            <v:path/>
            <v:fill on="f" focussize="0,0"/>
            <v:stroke on="f" joinstyle="miter"/>
            <v:imagedata r:id="rId9" o:title=""/>
            <o:lock v:ext="edit" aspectratio="t"/>
            <w10:wrap type="none"/>
            <w10:anchorlock/>
          </v:shape>
          <o:OLEObject Type="Embed" ProgID="Excel.Sheet.8" ShapeID="_x0000_i1027" DrawAspect="Content" ObjectID="_1468075727" r:id="rId8">
            <o:LockedField>false</o:LockedField>
          </o:OLEObject>
        </w:object>
      </w: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jc w:val="center"/>
      </w:pPr>
      <w:bookmarkStart w:id="2" w:name="_MON_1690874240"/>
      <w:bookmarkEnd w:id="2"/>
      <w:bookmarkStart w:id="3" w:name="RANGE!A1:F16"/>
      <w:r>
        <w:object>
          <v:shape id="_x0000_i1028" o:spt="75" type="#_x0000_t75" style="height:499.4pt;width:684.9pt;" o:ole="t" filled="f" o:preferrelative="t" stroked="f" coordsize="21600,21600">
            <v:path/>
            <v:fill on="f" focussize="0,0"/>
            <v:stroke on="f" joinstyle="miter"/>
            <v:imagedata r:id="rId11" o:title=""/>
            <o:lock v:ext="edit" aspectratio="t"/>
            <w10:wrap type="none"/>
            <w10:anchorlock/>
          </v:shape>
          <o:OLEObject Type="Embed" ProgID="Excel.Sheet.8" ShapeID="_x0000_i1028" DrawAspect="Content" ObjectID="_1468075728" r:id="rId10">
            <o:LockedField>false</o:LockedField>
          </o:OLEObject>
        </w:object>
      </w: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bookmarkStart w:id="4" w:name="_MON_1690874329"/>
      <w:bookmarkEnd w:id="4"/>
      <w:r>
        <w:rPr>
          <w:rFonts w:ascii="Times New Roman" w:hAnsi="Times New Roman" w:eastAsia="方正小标宋_GBK" w:cs="Times New Roman"/>
          <w:kern w:val="0"/>
          <w:sz w:val="36"/>
          <w:szCs w:val="36"/>
        </w:rPr>
        <w:object>
          <v:shape id="_x0000_i1029" o:spt="75" type="#_x0000_t75" style="height:277.85pt;width:452.3pt;" o:ole="t" filled="f" o:preferrelative="t" stroked="f" coordsize="21600,21600">
            <v:path/>
            <v:fill on="f" focussize="0,0"/>
            <v:stroke on="f" joinstyle="miter"/>
            <v:imagedata r:id="rId13" o:title=""/>
            <o:lock v:ext="edit" aspectratio="t"/>
            <w10:wrap type="none"/>
            <w10:anchorlock/>
          </v:shape>
          <o:OLEObject Type="Embed" ProgID="Excel.Sheet.8" ShapeID="_x0000_i1029" DrawAspect="Content" ObjectID="_1468075729" r:id="rId12">
            <o:LockedField>false</o:LockedField>
          </o:OLEObject>
        </w:object>
      </w:r>
    </w:p>
    <w:p>
      <w:pPr>
        <w:widowControl/>
        <w:jc w:val="center"/>
        <w:rPr>
          <w:rFonts w:ascii="Times New Roman" w:hAnsi="Times New Roman" w:eastAsia="方正小标宋_GBK" w:cs="Times New Roman"/>
          <w:kern w:val="0"/>
          <w:sz w:val="36"/>
          <w:szCs w:val="36"/>
        </w:rPr>
      </w:pPr>
    </w:p>
    <w:p>
      <w:pPr>
        <w:widowControl/>
        <w:jc w:val="left"/>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br w:type="page"/>
      </w:r>
    </w:p>
    <w:p>
      <w:pPr>
        <w:widowControl/>
        <w:jc w:val="center"/>
        <w:rPr>
          <w:rFonts w:ascii="Times New Roman" w:hAnsi="Times New Roman" w:eastAsia="方正小标宋_GBK" w:cs="Times New Roman"/>
          <w:kern w:val="0"/>
          <w:sz w:val="36"/>
          <w:szCs w:val="36"/>
        </w:rPr>
      </w:pPr>
      <w:bookmarkStart w:id="5" w:name="_MON_1690874351"/>
      <w:bookmarkEnd w:id="5"/>
      <w:r>
        <w:rPr>
          <w:rFonts w:ascii="Times New Roman" w:hAnsi="Times New Roman" w:eastAsia="方正小标宋_GBK" w:cs="Times New Roman"/>
          <w:kern w:val="0"/>
          <w:sz w:val="36"/>
          <w:szCs w:val="36"/>
        </w:rPr>
        <w:object>
          <v:shape id="_x0000_i1030" o:spt="75" type="#_x0000_t75" style="height:458.75pt;width:788.3pt;" o:ole="t" filled="f" o:preferrelative="t" stroked="f" coordsize="21600,21600">
            <v:path/>
            <v:fill on="f" focussize="0,0"/>
            <v:stroke on="f" joinstyle="miter"/>
            <v:imagedata r:id="rId14" o:title=""/>
            <o:lock v:ext="edit" aspectratio="t"/>
            <w10:wrap type="none"/>
            <w10:anchorlock/>
          </v:shape>
          <o:OLEObject Type="Embed" ProgID="Excel.Sheet.8" ShapeID="_x0000_i1030" DrawAspect="Content" ObjectID="_1468075730">
            <o:LockedField>false</o:LockedField>
          </o:OLEObject>
        </w:object>
      </w:r>
    </w:p>
    <w:p>
      <w:pPr>
        <w:widowControl/>
        <w:jc w:val="center"/>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bookmarkEnd w:id="3"/>
    <w:tbl>
      <w:tblPr>
        <w:tblStyle w:val="5"/>
        <w:tblW w:w="0" w:type="auto"/>
        <w:tblInd w:w="0" w:type="dxa"/>
        <w:tblLayout w:type="autofit"/>
        <w:tblCellMar>
          <w:top w:w="0" w:type="dxa"/>
          <w:left w:w="108" w:type="dxa"/>
          <w:bottom w:w="0" w:type="dxa"/>
          <w:right w:w="108" w:type="dxa"/>
        </w:tblCellMar>
      </w:tblPr>
      <w:tblGrid>
        <w:gridCol w:w="222"/>
      </w:tblGrid>
      <w:tr>
        <w:tblPrEx>
          <w:tblCellMar>
            <w:top w:w="0" w:type="dxa"/>
            <w:left w:w="108" w:type="dxa"/>
            <w:bottom w:w="0" w:type="dxa"/>
            <w:right w:w="108" w:type="dxa"/>
          </w:tblCellMar>
        </w:tblPrEx>
        <w:trPr>
          <w:trHeight w:val="113" w:hRule="atLeast"/>
        </w:trPr>
        <w:tc>
          <w:tcPr>
            <w:tcW w:w="0" w:type="auto"/>
            <w:tcBorders>
              <w:top w:val="nil"/>
              <w:left w:val="nil"/>
              <w:bottom w:val="nil"/>
              <w:right w:val="nil"/>
            </w:tcBorders>
            <w:shd w:val="clear" w:color="auto" w:fill="auto"/>
            <w:noWrap/>
            <w:vAlign w:val="center"/>
          </w:tcPr>
          <w:p>
            <w:pPr>
              <w:widowControl/>
              <w:jc w:val="right"/>
              <w:rPr>
                <w:rFonts w:ascii="华文中宋" w:hAnsi="华文中宋" w:eastAsia="华文中宋" w:cs="宋体"/>
                <w:color w:val="000000"/>
                <w:kern w:val="0"/>
                <w:szCs w:val="32"/>
              </w:rPr>
            </w:pPr>
          </w:p>
        </w:tc>
      </w:tr>
    </w:tbl>
    <w:p>
      <w:pPr>
        <w:widowControl/>
        <w:jc w:val="center"/>
      </w:pPr>
      <w:bookmarkStart w:id="6" w:name="_MON_1690873281"/>
      <w:bookmarkEnd w:id="6"/>
      <w:r>
        <w:object>
          <v:shape id="_x0000_i1031" o:spt="75" type="#_x0000_t75" style="height:184.6pt;width:660pt;" o:ole="t" filled="f" o:preferrelative="t" stroked="f" coordsize="21600,21600">
            <v:path/>
            <v:fill on="f" focussize="0,0"/>
            <v:stroke on="f" joinstyle="miter"/>
            <v:imagedata r:id="rId16" o:title=""/>
            <o:lock v:ext="edit" aspectratio="t"/>
            <w10:wrap type="none"/>
            <w10:anchorlock/>
          </v:shape>
          <o:OLEObject Type="Embed" ProgID="Excel.Sheet.8" ShapeID="_x0000_i1031" DrawAspect="Content" ObjectID="_1468075731" r:id="rId15">
            <o:LockedField>false</o:LockedField>
          </o:OLEObject>
        </w:object>
      </w:r>
    </w:p>
    <w:p/>
    <w:tbl>
      <w:tblPr>
        <w:tblStyle w:val="5"/>
        <w:tblW w:w="0" w:type="auto"/>
        <w:tblInd w:w="0" w:type="dxa"/>
        <w:tblLayout w:type="autofit"/>
        <w:tblCellMar>
          <w:top w:w="0" w:type="dxa"/>
          <w:left w:w="108" w:type="dxa"/>
          <w:bottom w:w="0" w:type="dxa"/>
          <w:right w:w="108" w:type="dxa"/>
        </w:tblCellMar>
      </w:tblPr>
      <w:tblGrid>
        <w:gridCol w:w="222"/>
      </w:tblGrid>
      <w:tr>
        <w:tblPrEx>
          <w:tblCellMar>
            <w:top w:w="0" w:type="dxa"/>
            <w:left w:w="108" w:type="dxa"/>
            <w:bottom w:w="0" w:type="dxa"/>
            <w:right w:w="108" w:type="dxa"/>
          </w:tblCellMar>
        </w:tblPrEx>
        <w:trPr>
          <w:trHeight w:val="284" w:hRule="exact"/>
        </w:trPr>
        <w:tc>
          <w:tcPr>
            <w:tcW w:w="0" w:type="auto"/>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部门：公开08表</w:t>
      </w:r>
    </w:p>
    <w:p>
      <w:pPr>
        <w:widowControl/>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rPr>
        <w:t>沅江市住房保障服务中心                                                                                                      单位：</w:t>
      </w:r>
      <w:r>
        <w:rPr>
          <w:rFonts w:ascii="Times New Roman" w:hAnsi="Times New Roman" w:eastAsia="仿宋_GB2312" w:cs="Times New Roman"/>
          <w:color w:val="000000"/>
          <w:kern w:val="0"/>
          <w:szCs w:val="21"/>
        </w:rPr>
        <w:t>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沅江市住房保障服务中心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pPr>
    </w:p>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autoSpaceDE w:val="0"/>
        <w:autoSpaceDN w:val="0"/>
        <w:adjustRightInd w:val="0"/>
        <w:spacing w:beforeLines="0" w:afterLines="0"/>
        <w:ind w:firstLine="640"/>
        <w:rPr>
          <w:rFonts w:hint="eastAsia" w:ascii="宋体" w:hAnsi="宋体" w:eastAsia="宋体" w:cs="宋体"/>
          <w:sz w:val="32"/>
          <w:szCs w:val="32"/>
        </w:rPr>
      </w:pPr>
      <w:r>
        <w:rPr>
          <w:rFonts w:hint="eastAsia" w:ascii="宋体" w:hAnsi="宋体" w:eastAsia="宋体" w:cs="宋体"/>
          <w:sz w:val="32"/>
          <w:szCs w:val="32"/>
        </w:rPr>
        <w:t>一、决算信息来源说明</w:t>
      </w:r>
    </w:p>
    <w:p>
      <w:pPr>
        <w:autoSpaceDE w:val="0"/>
        <w:autoSpaceDN w:val="0"/>
        <w:adjustRightInd w:val="0"/>
        <w:spacing w:beforeLines="0" w:afterLines="0"/>
        <w:ind w:firstLine="640"/>
        <w:rPr>
          <w:rFonts w:hint="eastAsia" w:ascii="宋体" w:hAnsi="宋体" w:eastAsia="宋体" w:cs="宋体"/>
          <w:sz w:val="32"/>
          <w:szCs w:val="32"/>
        </w:rPr>
      </w:pPr>
      <w:r>
        <w:rPr>
          <w:rFonts w:hint="eastAsia" w:ascii="宋体" w:hAnsi="宋体" w:eastAsia="宋体" w:cs="宋体"/>
          <w:sz w:val="32"/>
          <w:szCs w:val="32"/>
        </w:rPr>
        <w:t>本套决算依据本单位登记完整、核对无误的账簿记录和其他有关会计核算资料编制，账证相符、账实相符、账表相符、表表相符，真实、准确、完整地反映了本单位预算执行结果和财务状况。</w:t>
      </w:r>
    </w:p>
    <w:p>
      <w:pPr>
        <w:autoSpaceDE w:val="0"/>
        <w:autoSpaceDN w:val="0"/>
        <w:adjustRightInd w:val="0"/>
        <w:spacing w:beforeLines="0" w:afterLines="0"/>
        <w:ind w:firstLine="640"/>
        <w:rPr>
          <w:rFonts w:hint="eastAsia" w:ascii="宋体" w:hAnsi="宋体" w:eastAsia="宋体" w:cs="宋体"/>
          <w:sz w:val="32"/>
          <w:szCs w:val="32"/>
        </w:rPr>
      </w:pPr>
      <w:r>
        <w:rPr>
          <w:rFonts w:hint="eastAsia" w:ascii="宋体" w:hAnsi="宋体" w:eastAsia="宋体" w:cs="宋体"/>
          <w:sz w:val="32"/>
          <w:szCs w:val="32"/>
        </w:rPr>
        <w:t>（一）本套决算主表数据主要依据本单位会计账簿总账及明细账数据填列，预算数据依据本单位预、决算批复文件及预算调整文件填列。</w:t>
      </w:r>
    </w:p>
    <w:p>
      <w:pPr>
        <w:autoSpaceDE w:val="0"/>
        <w:autoSpaceDN w:val="0"/>
        <w:adjustRightInd w:val="0"/>
        <w:spacing w:beforeLines="0" w:afterLines="0"/>
        <w:ind w:firstLine="640"/>
        <w:rPr>
          <w:rFonts w:hint="eastAsia" w:ascii="宋体" w:hAnsi="宋体" w:eastAsia="宋体" w:cs="宋体"/>
          <w:sz w:val="32"/>
          <w:szCs w:val="32"/>
        </w:rPr>
      </w:pPr>
      <w:r>
        <w:rPr>
          <w:rFonts w:hint="eastAsia" w:ascii="宋体" w:hAnsi="宋体" w:eastAsia="宋体" w:cs="宋体"/>
          <w:sz w:val="32"/>
          <w:szCs w:val="32"/>
        </w:rPr>
        <w:t>（二）本套决算附表数据主要依据本单位资产、人事台账及相关统计资料填列，其中：“资产情况表”“国有资产收益征缴情况表”依据本单位资产相关会计账簿数据、固定资产管理系统相关数据及有关统计资料填列；“基本数据表”“机构人员情况表”依据本单位人事台账相关资料填列；“非税收入征缴情况表”依据本单位非税收入台账及相关统计资料填列。</w:t>
      </w:r>
    </w:p>
    <w:p>
      <w:pPr>
        <w:autoSpaceDE w:val="0"/>
        <w:autoSpaceDN w:val="0"/>
        <w:adjustRightInd w:val="0"/>
        <w:spacing w:beforeLines="0" w:afterLines="0"/>
        <w:ind w:firstLine="640"/>
        <w:rPr>
          <w:rFonts w:hint="eastAsia" w:ascii="宋体" w:hAnsi="宋体" w:eastAsia="宋体" w:cs="宋体"/>
          <w:sz w:val="32"/>
          <w:szCs w:val="32"/>
        </w:rPr>
      </w:pPr>
      <w:r>
        <w:rPr>
          <w:rFonts w:hint="eastAsia" w:ascii="宋体" w:hAnsi="宋体" w:eastAsia="宋体" w:cs="宋体"/>
          <w:sz w:val="32"/>
          <w:szCs w:val="32"/>
        </w:rPr>
        <w:t>二、决算编制基本情况</w:t>
      </w:r>
    </w:p>
    <w:p>
      <w:pPr>
        <w:autoSpaceDE w:val="0"/>
        <w:autoSpaceDN w:val="0"/>
        <w:adjustRightInd w:val="0"/>
        <w:spacing w:beforeLines="0" w:afterLines="0"/>
        <w:ind w:firstLine="567"/>
        <w:rPr>
          <w:rFonts w:hint="eastAsia" w:ascii="宋体" w:hAnsi="宋体" w:eastAsia="宋体" w:cs="宋体"/>
          <w:sz w:val="32"/>
          <w:szCs w:val="32"/>
        </w:rPr>
      </w:pPr>
      <w:r>
        <w:rPr>
          <w:rFonts w:hint="eastAsia" w:ascii="宋体" w:hAnsi="宋体" w:eastAsia="宋体" w:cs="宋体"/>
          <w:sz w:val="32"/>
          <w:szCs w:val="32"/>
        </w:rPr>
        <w:t>本单位为一级预算单位，单位性质为财政补助事业单位，决算编报类型为单户表，按照政府会计准则制度报决算数据。</w:t>
      </w:r>
    </w:p>
    <w:p>
      <w:pPr>
        <w:autoSpaceDE w:val="0"/>
        <w:autoSpaceDN w:val="0"/>
        <w:adjustRightInd w:val="0"/>
        <w:spacing w:beforeLines="0" w:afterLines="0"/>
        <w:ind w:firstLine="707"/>
        <w:rPr>
          <w:rFonts w:hint="eastAsia" w:ascii="宋体" w:hAnsi="宋体" w:eastAsia="宋体" w:cs="宋体"/>
          <w:sz w:val="32"/>
          <w:szCs w:val="32"/>
        </w:rPr>
      </w:pPr>
      <w:r>
        <w:rPr>
          <w:rFonts w:hint="eastAsia" w:ascii="宋体" w:hAnsi="宋体" w:eastAsia="宋体" w:cs="宋体"/>
          <w:sz w:val="32"/>
          <w:szCs w:val="32"/>
        </w:rPr>
        <w:t>三、基础数据核对情况</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（一）财政资金对账情况。</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1．财政拨款核对情况。</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（1）单位本年度实际收到的一般公共预算财政拨款收入2382.17万元，财政部门拨款对账单2382.17万元，没有差额。</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（2）单位本年度没有政府性基金预算财政拨款收入。</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2．其他需要说明的情况。</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（二）与上年指标核对情况。</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1．全口径结转和结余资金本年年初数与上年年末数不一致的情况说明：(-1+"调整后变动项目情况如下：...................。</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2.“资产负债简表”指标本年年初数与上年年末数不一致的情况说明：包括财政收回、审计调整、归集调入或上缴、单位内部调剂等情况。</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3．“资产情况表”指标本年年初数与上年年末数不一致的情况说明：。</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4．主要指标上下年变动幅度超过20%，其中机构人员指标上下年有变动的，应具体核实并说明原因（附表3）。</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 xml:space="preserve">  四、报表审核情况</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（一）审核情况。</w:t>
      </w:r>
    </w:p>
    <w:p>
      <w:pPr>
        <w:autoSpaceDE w:val="0"/>
        <w:autoSpaceDN w:val="0"/>
        <w:adjustRightInd w:val="0"/>
        <w:spacing w:beforeLines="0" w:afterLines="0"/>
        <w:ind w:firstLine="1347" w:firstLineChars="421"/>
        <w:rPr>
          <w:rFonts w:hint="eastAsia" w:ascii="宋体" w:hAnsi="宋体" w:eastAsia="宋体" w:cs="宋体"/>
          <w:sz w:val="32"/>
          <w:szCs w:val="32"/>
        </w:rPr>
      </w:pPr>
      <w:r>
        <w:rPr>
          <w:rFonts w:hint="eastAsia" w:ascii="宋体" w:hAnsi="宋体" w:eastAsia="宋体" w:cs="宋体"/>
          <w:sz w:val="32"/>
          <w:szCs w:val="32"/>
        </w:rPr>
        <w:t>审核无误</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（二）对报表指标、审核公式和审核模板的设置建议。</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1.对部门决算报表指标设置的建议。</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2.如有不适用的审核公式和模板，请列出并说明修改意见。</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3.单位自行增加的审核公式和模板，请列出并说明设置依据。</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五、决算数据其他需要说明的情况</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1．“收入决算表”中其他收入的具体构成情况，说明单位从本级财政部门以外的同级单位取得的经费、从非本级财政部门取得的经费、未纳入财政专户管理的投资收益、利息收入、捐赠收入等情况（附表4）。</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2.年末结转和结余为负数的原因说明，包括单位基本支出结转、项目支出结转和结余、事业基金结余和专用基金结余为负数的情况。</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3．“项目支出决算明细表”中列支“工资福利支出”和“对个人和家庭的补助”的依据及说明。</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4.“财政专户管理资金收入支出决算表”中除教育收费以外的资金收支情况说明（需附相关文件依据）。</w:t>
      </w:r>
    </w:p>
    <w:p>
      <w:pPr>
        <w:autoSpaceDE w:val="0"/>
        <w:autoSpaceDN w:val="0"/>
        <w:adjustRightInd w:val="0"/>
        <w:spacing w:beforeLines="0" w:afterLines="0"/>
        <w:ind w:firstLine="709"/>
        <w:rPr>
          <w:rFonts w:hint="eastAsia" w:ascii="宋体" w:hAnsi="宋体" w:eastAsia="宋体" w:cs="宋体"/>
          <w:sz w:val="32"/>
          <w:szCs w:val="32"/>
          <w:highlight w:val="yellow"/>
        </w:rPr>
      </w:pPr>
      <w:r>
        <w:rPr>
          <w:rFonts w:hint="eastAsia" w:ascii="宋体" w:hAnsi="宋体" w:eastAsia="宋体" w:cs="宋体"/>
          <w:sz w:val="32"/>
          <w:szCs w:val="32"/>
        </w:rPr>
        <w:t>5.“资产负债简表”中行政事业单位 “应收账款”、“预付账款”、“其他应收款”、“应付账款”、“预收账款”、 “其他应付款”等往来账款情况进行详细说明。</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6.“三公”经费总额及分项金额与年初预算数、上年决算数对比变动的原因说明，以及相关的公务用车购置及保有量、因公出国（境）团组数及人数和公务接待批次及人数等情况（附表5）。</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7.行政单位、参照公务员法管理的事业单位机关运行经费支出情况，以及与上年数对比变动原因说明（附表5）。</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8.政府采购支出情况，包括采购类型、采购规模和资金来源等（附表6）。</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9.中央单位财政拨款结转和结余情况（附表7）。</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10.中央单位驻外机构有关情况（附表8、9）。</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11.住房公积金管理中心住房公积金业务收支情况（附表10）。</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12.“收入支出决算总表”中如调整预算数大于年初预算数，说明单位财政拨款预算和非财政拨款预算调整情况以及经审批或备案的文件依据。</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13.按支出经济分类科目分具体项目支出明细情况（附表11、12、13）。</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14.党和国家机构调整对决算编报相关方面的影响。</w:t>
      </w:r>
    </w:p>
    <w:p>
      <w:pPr>
        <w:autoSpaceDE w:val="0"/>
        <w:autoSpaceDN w:val="0"/>
        <w:adjustRightInd w:val="0"/>
        <w:spacing w:beforeLines="0" w:afterLines="0"/>
        <w:ind w:firstLine="709"/>
        <w:rPr>
          <w:rFonts w:hint="eastAsia" w:ascii="宋体" w:hAnsi="宋体" w:eastAsia="宋体" w:cs="宋体"/>
          <w:sz w:val="32"/>
          <w:szCs w:val="32"/>
        </w:rPr>
      </w:pPr>
      <w:r>
        <w:rPr>
          <w:rFonts w:hint="eastAsia" w:ascii="宋体" w:hAnsi="宋体" w:eastAsia="宋体" w:cs="宋体"/>
          <w:sz w:val="32"/>
          <w:szCs w:val="32"/>
        </w:rPr>
        <w:t>15.其他需要说明的问题，如资产负债变动、长期投资和国有资产管理，以及对本期或者下期财务状况发生重大影响事项。</w:t>
      </w:r>
    </w:p>
    <w:p>
      <w:pPr>
        <w:autoSpaceDE w:val="0"/>
        <w:autoSpaceDN w:val="0"/>
        <w:adjustRightInd w:val="0"/>
        <w:spacing w:beforeLines="0" w:afterLines="0"/>
        <w:rPr>
          <w:rFonts w:hint="eastAsia" w:ascii="宋体" w:hAnsi="宋体" w:eastAsia="宋体" w:cs="宋体"/>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jc w:val="left"/>
        <w:rPr>
          <w:rFonts w:hint="eastAsia" w:ascii="宋体" w:hAnsi="宋体" w:eastAsia="宋体" w:cs="宋体"/>
          <w:color w:val="000000"/>
          <w:kern w:val="0"/>
          <w:sz w:val="32"/>
          <w:szCs w:val="32"/>
          <w:lang w:eastAsia="zh-CN"/>
        </w:rPr>
      </w:pPr>
      <w:bookmarkStart w:id="7" w:name="_GoBack"/>
      <w:bookmarkEnd w:id="7"/>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229B"/>
    <w:rsid w:val="000273BD"/>
    <w:rsid w:val="000415B7"/>
    <w:rsid w:val="00041E3F"/>
    <w:rsid w:val="00055DAA"/>
    <w:rsid w:val="00061F7B"/>
    <w:rsid w:val="000658A3"/>
    <w:rsid w:val="00074155"/>
    <w:rsid w:val="000A3F69"/>
    <w:rsid w:val="00103957"/>
    <w:rsid w:val="00152C6D"/>
    <w:rsid w:val="00162D39"/>
    <w:rsid w:val="001678BD"/>
    <w:rsid w:val="00172A27"/>
    <w:rsid w:val="001A67DB"/>
    <w:rsid w:val="001C0120"/>
    <w:rsid w:val="001C1F52"/>
    <w:rsid w:val="001C3C29"/>
    <w:rsid w:val="001D51E5"/>
    <w:rsid w:val="001E080D"/>
    <w:rsid w:val="001E53D0"/>
    <w:rsid w:val="001F0C3B"/>
    <w:rsid w:val="00202C82"/>
    <w:rsid w:val="00214427"/>
    <w:rsid w:val="00226CB7"/>
    <w:rsid w:val="00264552"/>
    <w:rsid w:val="00264EF9"/>
    <w:rsid w:val="00265724"/>
    <w:rsid w:val="00272C04"/>
    <w:rsid w:val="0027426B"/>
    <w:rsid w:val="002E0A30"/>
    <w:rsid w:val="003130C4"/>
    <w:rsid w:val="00316C4B"/>
    <w:rsid w:val="0032192B"/>
    <w:rsid w:val="003479BD"/>
    <w:rsid w:val="0037197D"/>
    <w:rsid w:val="003768D5"/>
    <w:rsid w:val="003B4345"/>
    <w:rsid w:val="003C47E6"/>
    <w:rsid w:val="003C4955"/>
    <w:rsid w:val="003C4FC2"/>
    <w:rsid w:val="00416E61"/>
    <w:rsid w:val="0042790C"/>
    <w:rsid w:val="004506F9"/>
    <w:rsid w:val="004613EA"/>
    <w:rsid w:val="004717A2"/>
    <w:rsid w:val="00473DF3"/>
    <w:rsid w:val="00483143"/>
    <w:rsid w:val="00487911"/>
    <w:rsid w:val="00491741"/>
    <w:rsid w:val="00500E5F"/>
    <w:rsid w:val="005122EF"/>
    <w:rsid w:val="00512B80"/>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353B9"/>
    <w:rsid w:val="00641842"/>
    <w:rsid w:val="00651EEC"/>
    <w:rsid w:val="00691E8C"/>
    <w:rsid w:val="006A0ECA"/>
    <w:rsid w:val="006A22C4"/>
    <w:rsid w:val="006A351B"/>
    <w:rsid w:val="006B0422"/>
    <w:rsid w:val="006C1B53"/>
    <w:rsid w:val="006D7730"/>
    <w:rsid w:val="006E42BF"/>
    <w:rsid w:val="006E5284"/>
    <w:rsid w:val="006F3EB5"/>
    <w:rsid w:val="006F5C9E"/>
    <w:rsid w:val="00702E34"/>
    <w:rsid w:val="00704395"/>
    <w:rsid w:val="00717621"/>
    <w:rsid w:val="00720FF1"/>
    <w:rsid w:val="00727A53"/>
    <w:rsid w:val="00740F99"/>
    <w:rsid w:val="00787B42"/>
    <w:rsid w:val="007C4539"/>
    <w:rsid w:val="007F3657"/>
    <w:rsid w:val="00812ED5"/>
    <w:rsid w:val="008277D9"/>
    <w:rsid w:val="0084478C"/>
    <w:rsid w:val="0086638C"/>
    <w:rsid w:val="008979CB"/>
    <w:rsid w:val="008A3E8D"/>
    <w:rsid w:val="008E04F7"/>
    <w:rsid w:val="009237C4"/>
    <w:rsid w:val="00925D79"/>
    <w:rsid w:val="00944C48"/>
    <w:rsid w:val="00945B5C"/>
    <w:rsid w:val="00950252"/>
    <w:rsid w:val="00967F5D"/>
    <w:rsid w:val="009A0F95"/>
    <w:rsid w:val="009B3ADF"/>
    <w:rsid w:val="009C3B52"/>
    <w:rsid w:val="009E6817"/>
    <w:rsid w:val="009E6E9A"/>
    <w:rsid w:val="00A01D2B"/>
    <w:rsid w:val="00A36E88"/>
    <w:rsid w:val="00A37C1C"/>
    <w:rsid w:val="00A42218"/>
    <w:rsid w:val="00A70249"/>
    <w:rsid w:val="00A70B02"/>
    <w:rsid w:val="00A71D9F"/>
    <w:rsid w:val="00A92E9F"/>
    <w:rsid w:val="00AB6AEE"/>
    <w:rsid w:val="00B33BEA"/>
    <w:rsid w:val="00B57C9F"/>
    <w:rsid w:val="00B63572"/>
    <w:rsid w:val="00B845B3"/>
    <w:rsid w:val="00B85D8B"/>
    <w:rsid w:val="00BB4A40"/>
    <w:rsid w:val="00BD6C3E"/>
    <w:rsid w:val="00BE3674"/>
    <w:rsid w:val="00BE6BF2"/>
    <w:rsid w:val="00C10681"/>
    <w:rsid w:val="00C3049A"/>
    <w:rsid w:val="00C31B1E"/>
    <w:rsid w:val="00C77645"/>
    <w:rsid w:val="00C96744"/>
    <w:rsid w:val="00CE04C3"/>
    <w:rsid w:val="00CE76A0"/>
    <w:rsid w:val="00D148C6"/>
    <w:rsid w:val="00D17A8A"/>
    <w:rsid w:val="00D415BA"/>
    <w:rsid w:val="00D644EE"/>
    <w:rsid w:val="00DC3AD9"/>
    <w:rsid w:val="00DD06FF"/>
    <w:rsid w:val="00DD5FE9"/>
    <w:rsid w:val="00E00C7A"/>
    <w:rsid w:val="00E37D6C"/>
    <w:rsid w:val="00E55B68"/>
    <w:rsid w:val="00E67BE6"/>
    <w:rsid w:val="00E8683C"/>
    <w:rsid w:val="00EA2B72"/>
    <w:rsid w:val="00F74360"/>
    <w:rsid w:val="00FA2C9E"/>
    <w:rsid w:val="00FB462F"/>
    <w:rsid w:val="00FE0603"/>
    <w:rsid w:val="00FE16FA"/>
    <w:rsid w:val="00FE328A"/>
    <w:rsid w:val="00FE6269"/>
    <w:rsid w:val="088D4EF7"/>
    <w:rsid w:val="0B6C3786"/>
    <w:rsid w:val="13326289"/>
    <w:rsid w:val="1610444E"/>
    <w:rsid w:val="1E84040B"/>
    <w:rsid w:val="1EA31D84"/>
    <w:rsid w:val="23586BE8"/>
    <w:rsid w:val="2DF53241"/>
    <w:rsid w:val="34A31E36"/>
    <w:rsid w:val="36C7532F"/>
    <w:rsid w:val="3A9B405E"/>
    <w:rsid w:val="41717D66"/>
    <w:rsid w:val="47B73822"/>
    <w:rsid w:val="48995524"/>
    <w:rsid w:val="497E200A"/>
    <w:rsid w:val="54835894"/>
    <w:rsid w:val="57C17CD5"/>
    <w:rsid w:val="5C907DD5"/>
    <w:rsid w:val="63891ACC"/>
    <w:rsid w:val="63AB35BD"/>
    <w:rsid w:val="63F8747D"/>
    <w:rsid w:val="672D7FBB"/>
    <w:rsid w:val="77F14D6A"/>
    <w:rsid w:val="7A675B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Workbook3.xls"/><Relationship Id="rId7" Type="http://schemas.openxmlformats.org/officeDocument/2006/relationships/image" Target="media/image2.emf"/><Relationship Id="rId6" Type="http://schemas.openxmlformats.org/officeDocument/2006/relationships/oleObject" Target="embeddings/Workbook2.xls"/><Relationship Id="rId5" Type="http://schemas.openxmlformats.org/officeDocument/2006/relationships/image" Target="media/image1.emf"/><Relationship Id="rId4" Type="http://schemas.openxmlformats.org/officeDocument/2006/relationships/oleObject" Target="embeddings/Workbook1.xls"/><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7.emf"/><Relationship Id="rId15" Type="http://schemas.openxmlformats.org/officeDocument/2006/relationships/oleObject" Target="embeddings/Workbook6.xls"/><Relationship Id="rId14" Type="http://schemas.openxmlformats.org/officeDocument/2006/relationships/image" Target="media/image6.emf"/><Relationship Id="rId13" Type="http://schemas.openxmlformats.org/officeDocument/2006/relationships/image" Target="media/image5.emf"/><Relationship Id="rId12" Type="http://schemas.openxmlformats.org/officeDocument/2006/relationships/oleObject" Target="embeddings/Workbook5.xls"/><Relationship Id="rId11" Type="http://schemas.openxmlformats.org/officeDocument/2006/relationships/image" Target="media/image4.emf"/><Relationship Id="rId10" Type="http://schemas.openxmlformats.org/officeDocument/2006/relationships/oleObject" Target="embeddings/Workbook4.xls"/><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39B1CB-BF64-46EB-A856-2C7DA04706D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870</Words>
  <Characters>4959</Characters>
  <Lines>41</Lines>
  <Paragraphs>11</Paragraphs>
  <TotalTime>60</TotalTime>
  <ScaleCrop>false</ScaleCrop>
  <LinksUpToDate>false</LinksUpToDate>
  <CharactersWithSpaces>5818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2021-08-03T01:03:00Z</dcterms:created>
  <dc:creator>李航 null</dc:creator>
  <cp:lastModifiedBy>WPS_1559610793</cp:lastModifiedBy>
  <cp:lastPrinted>2021-07-28T00:12:00Z</cp:lastPrinted>
  <dcterms:modified xsi:type="dcterms:W3CDTF">2021-11-29T07:09:31Z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62987C486E8449C18D6BA2E5D2875260</vt:lpwstr>
  </property>
</Properties>
</file>