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676" w:rsidRDefault="00335676" w:rsidP="00335676">
      <w:pPr>
        <w:pStyle w:val="Default"/>
        <w:jc w:val="center"/>
        <w:rPr>
          <w:sz w:val="72"/>
          <w:szCs w:val="72"/>
        </w:rPr>
      </w:pPr>
      <w:r>
        <w:rPr>
          <w:rFonts w:hAnsi="黑体" w:hint="eastAsia"/>
          <w:sz w:val="72"/>
          <w:szCs w:val="72"/>
        </w:rPr>
        <w:t>第二部分</w:t>
      </w:r>
    </w:p>
    <w:p w:rsidR="00335676" w:rsidRDefault="00335676" w:rsidP="00335676">
      <w:pPr>
        <w:pStyle w:val="Default"/>
        <w:jc w:val="center"/>
        <w:rPr>
          <w:rFonts w:hint="eastAsia"/>
          <w:sz w:val="70"/>
          <w:szCs w:val="70"/>
        </w:rPr>
      </w:pPr>
      <w:r>
        <w:rPr>
          <w:rFonts w:hint="eastAsia"/>
          <w:sz w:val="70"/>
          <w:szCs w:val="70"/>
        </w:rPr>
        <w:t xml:space="preserve"> </w:t>
      </w:r>
    </w:p>
    <w:p w:rsidR="00335676" w:rsidRDefault="00335676" w:rsidP="00335676">
      <w:pPr>
        <w:pStyle w:val="Default"/>
        <w:jc w:val="center"/>
        <w:rPr>
          <w:rFonts w:hAnsi="黑体" w:hint="eastAsia"/>
          <w:sz w:val="70"/>
          <w:szCs w:val="70"/>
        </w:rPr>
      </w:pPr>
      <w:r>
        <w:rPr>
          <w:rFonts w:hint="eastAsia"/>
          <w:sz w:val="70"/>
          <w:szCs w:val="70"/>
        </w:rPr>
        <w:t>20</w:t>
      </w:r>
      <w:r>
        <w:rPr>
          <w:rFonts w:hAnsi="黑体" w:hint="eastAsia"/>
          <w:sz w:val="70"/>
          <w:szCs w:val="70"/>
        </w:rPr>
        <w:t>20年度部门决算公开</w:t>
      </w:r>
    </w:p>
    <w:p w:rsidR="00335676" w:rsidRDefault="00335676" w:rsidP="00335676">
      <w:pPr>
        <w:pStyle w:val="Default"/>
        <w:jc w:val="center"/>
        <w:rPr>
          <w:rFonts w:hint="eastAsia"/>
          <w:sz w:val="70"/>
          <w:szCs w:val="70"/>
        </w:rPr>
      </w:pPr>
      <w:r>
        <w:rPr>
          <w:rFonts w:hAnsi="黑体" w:hint="eastAsia"/>
          <w:sz w:val="70"/>
          <w:szCs w:val="70"/>
        </w:rPr>
        <w:t>情况说明</w:t>
      </w:r>
    </w:p>
    <w:p w:rsidR="00335676" w:rsidRDefault="00335676" w:rsidP="00335676">
      <w:pPr>
        <w:jc w:val="center"/>
        <w:rPr>
          <w:sz w:val="72"/>
          <w:szCs w:val="72"/>
        </w:rPr>
      </w:pPr>
      <w:r>
        <w:rPr>
          <w:sz w:val="72"/>
          <w:szCs w:val="72"/>
        </w:rPr>
        <w:t xml:space="preserve"> </w:t>
      </w:r>
    </w:p>
    <w:p w:rsidR="00335676" w:rsidRDefault="00335676" w:rsidP="00335676">
      <w:pPr>
        <w:jc w:val="center"/>
        <w:rPr>
          <w:sz w:val="72"/>
          <w:szCs w:val="72"/>
        </w:rPr>
      </w:pPr>
      <w:r>
        <w:rPr>
          <w:sz w:val="72"/>
          <w:szCs w:val="72"/>
        </w:rPr>
        <w:t xml:space="preserve"> </w:t>
      </w:r>
    </w:p>
    <w:p w:rsidR="00335676" w:rsidRDefault="00335676" w:rsidP="00335676">
      <w:pPr>
        <w:jc w:val="center"/>
        <w:rPr>
          <w:sz w:val="72"/>
          <w:szCs w:val="72"/>
        </w:rPr>
      </w:pPr>
      <w:r>
        <w:rPr>
          <w:sz w:val="72"/>
          <w:szCs w:val="72"/>
        </w:rPr>
        <w:t xml:space="preserve"> </w:t>
      </w:r>
    </w:p>
    <w:p w:rsidR="00335676" w:rsidRDefault="00335676" w:rsidP="00335676">
      <w:pPr>
        <w:jc w:val="center"/>
        <w:rPr>
          <w:rFonts w:hint="eastAsia"/>
          <w:sz w:val="72"/>
          <w:szCs w:val="72"/>
        </w:rPr>
      </w:pPr>
      <w:r>
        <w:rPr>
          <w:sz w:val="72"/>
          <w:szCs w:val="72"/>
        </w:rPr>
        <w:t xml:space="preserve"> </w:t>
      </w:r>
    </w:p>
    <w:p w:rsidR="00335676" w:rsidRDefault="00335676" w:rsidP="00335676">
      <w:pPr>
        <w:jc w:val="center"/>
        <w:rPr>
          <w:rFonts w:hint="eastAsia"/>
          <w:sz w:val="72"/>
          <w:szCs w:val="72"/>
        </w:rPr>
      </w:pPr>
    </w:p>
    <w:p w:rsidR="00335676" w:rsidRDefault="00335676" w:rsidP="00335676">
      <w:pPr>
        <w:jc w:val="center"/>
        <w:rPr>
          <w:rFonts w:hint="eastAsia"/>
          <w:sz w:val="72"/>
          <w:szCs w:val="72"/>
        </w:rPr>
      </w:pPr>
    </w:p>
    <w:p w:rsidR="00335676" w:rsidRDefault="00335676" w:rsidP="00335676">
      <w:pPr>
        <w:pStyle w:val="ListParagraph"/>
        <w:ind w:firstLineChars="0" w:firstLine="0"/>
        <w:jc w:val="left"/>
        <w:rPr>
          <w:rFonts w:hint="eastAsia"/>
          <w:sz w:val="72"/>
          <w:szCs w:val="72"/>
        </w:rPr>
      </w:pPr>
    </w:p>
    <w:p w:rsidR="00335676" w:rsidRDefault="00335676" w:rsidP="00335676">
      <w:pPr>
        <w:pStyle w:val="ListParagraph"/>
        <w:ind w:firstLineChars="0" w:firstLine="0"/>
        <w:jc w:val="left"/>
        <w:rPr>
          <w:rFonts w:ascii="黑体" w:eastAsia="黑体" w:hAnsi="黑体" w:hint="eastAsia"/>
          <w:sz w:val="32"/>
          <w:szCs w:val="32"/>
        </w:rPr>
      </w:pPr>
    </w:p>
    <w:p w:rsidR="00335676" w:rsidRDefault="00335676" w:rsidP="00335676">
      <w:pPr>
        <w:pStyle w:val="ListParagraph"/>
        <w:ind w:firstLineChars="0" w:firstLine="0"/>
        <w:jc w:val="left"/>
        <w:rPr>
          <w:rFonts w:ascii="黑体" w:eastAsia="黑体" w:hAnsi="黑体" w:hint="eastAsia"/>
          <w:sz w:val="32"/>
          <w:szCs w:val="32"/>
        </w:rPr>
      </w:pPr>
    </w:p>
    <w:p w:rsidR="00335676" w:rsidRDefault="00335676" w:rsidP="00335676">
      <w:pPr>
        <w:pStyle w:val="ListParagraph"/>
        <w:ind w:firstLineChars="0" w:firstLine="0"/>
        <w:jc w:val="left"/>
        <w:rPr>
          <w:rFonts w:ascii="黑体" w:eastAsia="黑体" w:hAnsi="黑体" w:hint="eastAsia"/>
          <w:sz w:val="32"/>
          <w:szCs w:val="32"/>
        </w:rPr>
      </w:pPr>
    </w:p>
    <w:p w:rsidR="00335676" w:rsidRDefault="00335676" w:rsidP="00335676">
      <w:pPr>
        <w:pStyle w:val="ListParagraph"/>
        <w:ind w:firstLineChars="0" w:firstLine="0"/>
        <w:jc w:val="left"/>
        <w:rPr>
          <w:rFonts w:ascii="黑体" w:eastAsia="黑体" w:hAnsi="黑体" w:hint="eastAsia"/>
          <w:sz w:val="32"/>
          <w:szCs w:val="32"/>
        </w:rPr>
      </w:pPr>
    </w:p>
    <w:p w:rsidR="00335676" w:rsidRDefault="00335676" w:rsidP="00335676">
      <w:pPr>
        <w:pStyle w:val="ListParagraph"/>
        <w:ind w:firstLineChars="0" w:firstLine="0"/>
        <w:jc w:val="left"/>
        <w:rPr>
          <w:rFonts w:ascii="黑体" w:eastAsia="黑体" w:hAnsi="黑体" w:hint="eastAsia"/>
          <w:sz w:val="32"/>
          <w:szCs w:val="32"/>
        </w:rPr>
      </w:pPr>
    </w:p>
    <w:p w:rsidR="00335676" w:rsidRDefault="00335676" w:rsidP="00335676">
      <w:pPr>
        <w:pStyle w:val="ListParagraph"/>
        <w:ind w:firstLineChars="0" w:firstLine="0"/>
        <w:jc w:val="left"/>
        <w:rPr>
          <w:rFonts w:ascii="黑体" w:eastAsia="黑体" w:hAnsi="黑体"/>
          <w:sz w:val="32"/>
          <w:szCs w:val="32"/>
        </w:rPr>
      </w:pPr>
    </w:p>
    <w:p w:rsidR="00335676" w:rsidRDefault="00335676" w:rsidP="00335676">
      <w:pPr>
        <w:pStyle w:val="ListParagraph"/>
        <w:numPr>
          <w:ilvl w:val="0"/>
          <w:numId w:val="1"/>
        </w:numPr>
        <w:ind w:firstLineChars="0"/>
        <w:jc w:val="left"/>
        <w:rPr>
          <w:rFonts w:ascii="宋体" w:hAnsi="宋体" w:hint="eastAsia"/>
          <w:sz w:val="32"/>
          <w:szCs w:val="32"/>
        </w:rPr>
      </w:pPr>
      <w:r>
        <w:rPr>
          <w:rFonts w:ascii="宋体" w:hAnsi="宋体" w:hint="eastAsia"/>
          <w:sz w:val="32"/>
          <w:szCs w:val="32"/>
        </w:rPr>
        <w:lastRenderedPageBreak/>
        <w:t>部门职责</w:t>
      </w:r>
    </w:p>
    <w:p w:rsidR="00335676" w:rsidRDefault="00335676" w:rsidP="00335676">
      <w:pPr>
        <w:autoSpaceDE w:val="0"/>
        <w:autoSpaceDN w:val="0"/>
        <w:adjustRightInd w:val="0"/>
        <w:spacing w:line="520" w:lineRule="exact"/>
        <w:ind w:firstLine="640"/>
        <w:rPr>
          <w:rFonts w:ascii="宋体" w:hAnsi="宋体" w:hint="eastAsia"/>
          <w:sz w:val="32"/>
          <w:szCs w:val="32"/>
        </w:rPr>
      </w:pPr>
      <w:r>
        <w:rPr>
          <w:rFonts w:ascii="宋体" w:hAnsi="宋体" w:hint="eastAsia"/>
          <w:sz w:val="32"/>
          <w:szCs w:val="32"/>
        </w:rPr>
        <w:t>（一）拟定全市保障性住房、城市棚户区（含城中村）改造年度计划和中期计划；拟定城区老旧小区配套基础设施申报改造计划并负责实施。</w:t>
      </w:r>
    </w:p>
    <w:p w:rsidR="00335676" w:rsidRDefault="00335676" w:rsidP="00335676">
      <w:pPr>
        <w:autoSpaceDE w:val="0"/>
        <w:autoSpaceDN w:val="0"/>
        <w:adjustRightInd w:val="0"/>
        <w:spacing w:line="520" w:lineRule="exact"/>
        <w:ind w:firstLine="640"/>
        <w:rPr>
          <w:rFonts w:ascii="宋体" w:hAnsi="宋体" w:hint="eastAsia"/>
          <w:sz w:val="32"/>
          <w:szCs w:val="32"/>
        </w:rPr>
      </w:pPr>
      <w:r>
        <w:rPr>
          <w:rFonts w:ascii="宋体" w:hAnsi="宋体" w:hint="eastAsia"/>
          <w:sz w:val="32"/>
          <w:szCs w:val="32"/>
        </w:rPr>
        <w:t>（二）负责全市公共租赁住房的建设、储备、分配和后续运营管理等工作；负责市国有直管公房的管理、经营、租赁、维护改造工作。</w:t>
      </w:r>
    </w:p>
    <w:p w:rsidR="00335676" w:rsidRDefault="00335676" w:rsidP="00335676">
      <w:pPr>
        <w:autoSpaceDE w:val="0"/>
        <w:autoSpaceDN w:val="0"/>
        <w:adjustRightInd w:val="0"/>
        <w:spacing w:line="520" w:lineRule="exact"/>
        <w:ind w:firstLine="640"/>
        <w:rPr>
          <w:rFonts w:ascii="宋体" w:hAnsi="宋体" w:hint="eastAsia"/>
          <w:sz w:val="32"/>
          <w:szCs w:val="32"/>
        </w:rPr>
      </w:pPr>
      <w:r>
        <w:rPr>
          <w:rFonts w:ascii="宋体" w:hAnsi="宋体" w:hint="eastAsia"/>
          <w:sz w:val="32"/>
          <w:szCs w:val="32"/>
        </w:rPr>
        <w:t>（三）负责全市公共租赁住房保障对象审核登记、动态管理和租赁补贴对象的审核和发放等工作。</w:t>
      </w:r>
    </w:p>
    <w:p w:rsidR="00335676" w:rsidRDefault="00335676" w:rsidP="00335676">
      <w:pPr>
        <w:autoSpaceDE w:val="0"/>
        <w:autoSpaceDN w:val="0"/>
        <w:adjustRightInd w:val="0"/>
        <w:spacing w:line="520" w:lineRule="exact"/>
        <w:ind w:firstLine="640"/>
        <w:rPr>
          <w:rFonts w:ascii="宋体" w:hAnsi="宋体" w:hint="eastAsia"/>
          <w:sz w:val="32"/>
          <w:szCs w:val="32"/>
        </w:rPr>
      </w:pPr>
      <w:r>
        <w:rPr>
          <w:rFonts w:ascii="宋体" w:hAnsi="宋体" w:hint="eastAsia"/>
          <w:sz w:val="32"/>
          <w:szCs w:val="32"/>
        </w:rPr>
        <w:t>（四）负责全市公共租赁住房信息平台建设、信息发布，公共租赁房对象档案建立、管理和查阅工作。</w:t>
      </w:r>
    </w:p>
    <w:p w:rsidR="00335676" w:rsidRDefault="00335676" w:rsidP="00335676">
      <w:pPr>
        <w:autoSpaceDE w:val="0"/>
        <w:autoSpaceDN w:val="0"/>
        <w:adjustRightInd w:val="0"/>
        <w:spacing w:line="520" w:lineRule="exact"/>
        <w:ind w:firstLine="640"/>
        <w:rPr>
          <w:rFonts w:ascii="宋体" w:hAnsi="宋体" w:hint="eastAsia"/>
          <w:sz w:val="32"/>
          <w:szCs w:val="32"/>
        </w:rPr>
      </w:pPr>
      <w:r>
        <w:rPr>
          <w:rFonts w:ascii="宋体" w:hAnsi="宋体" w:hint="eastAsia"/>
          <w:sz w:val="32"/>
          <w:szCs w:val="32"/>
        </w:rPr>
        <w:t>（五）负责全市公共租赁住房保障对象住房租金的收取、存储，使用等工作。</w:t>
      </w:r>
    </w:p>
    <w:p w:rsidR="00335676" w:rsidRDefault="00335676" w:rsidP="00335676">
      <w:pPr>
        <w:autoSpaceDE w:val="0"/>
        <w:autoSpaceDN w:val="0"/>
        <w:adjustRightInd w:val="0"/>
        <w:spacing w:line="520" w:lineRule="exact"/>
        <w:ind w:firstLine="640"/>
        <w:rPr>
          <w:rFonts w:ascii="宋体" w:hAnsi="宋体" w:hint="eastAsia"/>
          <w:sz w:val="32"/>
          <w:szCs w:val="32"/>
        </w:rPr>
      </w:pPr>
      <w:r>
        <w:rPr>
          <w:rFonts w:ascii="宋体" w:hAnsi="宋体" w:hint="eastAsia"/>
          <w:sz w:val="32"/>
          <w:szCs w:val="32"/>
        </w:rPr>
        <w:t>（六）负责全市公共租赁住房及共用部位、共用设施设备维修方案的拟定并组织实施。</w:t>
      </w:r>
    </w:p>
    <w:p w:rsidR="00335676" w:rsidRDefault="00335676" w:rsidP="00335676">
      <w:pPr>
        <w:autoSpaceDE w:val="0"/>
        <w:autoSpaceDN w:val="0"/>
        <w:adjustRightInd w:val="0"/>
        <w:spacing w:line="520" w:lineRule="exact"/>
        <w:ind w:firstLine="640"/>
        <w:rPr>
          <w:rFonts w:ascii="宋体" w:hAnsi="宋体" w:hint="eastAsia"/>
          <w:sz w:val="32"/>
          <w:szCs w:val="32"/>
        </w:rPr>
      </w:pPr>
      <w:r>
        <w:rPr>
          <w:rFonts w:ascii="宋体" w:hAnsi="宋体" w:hint="eastAsia"/>
          <w:sz w:val="32"/>
          <w:szCs w:val="32"/>
        </w:rPr>
        <w:t>（七）负责市政府投资建设的公共租赁住房产权产籍管理。</w:t>
      </w:r>
    </w:p>
    <w:p w:rsidR="00335676" w:rsidRDefault="00335676" w:rsidP="00335676">
      <w:pPr>
        <w:autoSpaceDE w:val="0"/>
        <w:autoSpaceDN w:val="0"/>
        <w:adjustRightInd w:val="0"/>
        <w:spacing w:line="520" w:lineRule="exact"/>
        <w:ind w:firstLine="640"/>
        <w:rPr>
          <w:rFonts w:ascii="宋体" w:hAnsi="宋体" w:hint="eastAsia"/>
          <w:sz w:val="32"/>
          <w:szCs w:val="32"/>
        </w:rPr>
      </w:pPr>
      <w:r>
        <w:rPr>
          <w:rFonts w:ascii="宋体" w:hAnsi="宋体" w:hint="eastAsia"/>
          <w:sz w:val="32"/>
          <w:szCs w:val="32"/>
        </w:rPr>
        <w:t>（八）负责市政府下达的市行政区域内城市棚户区改造工作。</w:t>
      </w:r>
    </w:p>
    <w:p w:rsidR="00335676" w:rsidRDefault="00335676" w:rsidP="00335676">
      <w:pPr>
        <w:autoSpaceDE w:val="0"/>
        <w:autoSpaceDN w:val="0"/>
        <w:adjustRightInd w:val="0"/>
        <w:spacing w:line="520" w:lineRule="exact"/>
        <w:ind w:firstLine="640"/>
        <w:rPr>
          <w:rFonts w:ascii="宋体" w:hAnsi="宋体" w:hint="eastAsia"/>
          <w:sz w:val="28"/>
          <w:szCs w:val="28"/>
        </w:rPr>
      </w:pPr>
      <w:r>
        <w:rPr>
          <w:rFonts w:ascii="宋体" w:hAnsi="宋体" w:hint="eastAsia"/>
          <w:sz w:val="32"/>
          <w:szCs w:val="32"/>
        </w:rPr>
        <w:t>（九）完成市委、市政府和市住房和城乡建设局交办的其他任务。</w:t>
      </w:r>
    </w:p>
    <w:p w:rsidR="00335676" w:rsidRDefault="00335676" w:rsidP="00335676">
      <w:pPr>
        <w:widowControl/>
        <w:spacing w:line="600" w:lineRule="exact"/>
        <w:rPr>
          <w:rFonts w:ascii="宋体" w:hAnsi="宋体" w:hint="eastAsia"/>
          <w:bCs/>
          <w:kern w:val="0"/>
          <w:sz w:val="32"/>
          <w:szCs w:val="32"/>
        </w:rPr>
      </w:pPr>
      <w:r>
        <w:rPr>
          <w:rFonts w:ascii="宋体" w:hAnsi="宋体" w:hint="eastAsia"/>
          <w:bCs/>
          <w:kern w:val="0"/>
          <w:sz w:val="32"/>
          <w:szCs w:val="32"/>
        </w:rPr>
        <w:t>二、机构设置及决算单位构成</w:t>
      </w:r>
    </w:p>
    <w:p w:rsidR="00335676" w:rsidRDefault="00335676" w:rsidP="00335676">
      <w:pPr>
        <w:autoSpaceDE w:val="0"/>
        <w:autoSpaceDN w:val="0"/>
        <w:adjustRightInd w:val="0"/>
        <w:spacing w:line="520" w:lineRule="exact"/>
        <w:ind w:firstLine="640"/>
        <w:rPr>
          <w:rFonts w:ascii="宋体" w:hAnsi="宋体" w:hint="eastAsia"/>
          <w:sz w:val="32"/>
          <w:szCs w:val="32"/>
        </w:rPr>
      </w:pPr>
      <w:r>
        <w:rPr>
          <w:rFonts w:ascii="宋体" w:hAnsi="宋体" w:hint="eastAsia"/>
          <w:bCs/>
          <w:kern w:val="0"/>
          <w:sz w:val="32"/>
          <w:szCs w:val="32"/>
        </w:rPr>
        <w:t>（一）内设机构设置。沅江市住房保障服务中心单位内设机构为6个包括：</w:t>
      </w:r>
      <w:r>
        <w:rPr>
          <w:rFonts w:ascii="宋体" w:hAnsi="宋体" w:hint="eastAsia"/>
          <w:sz w:val="32"/>
          <w:szCs w:val="32"/>
        </w:rPr>
        <w:t>办公室、组织人事股、计划财务股、政策法规股、运营服务股、计划项目股。机关下设15个二级机构，均为政股级。包括：直管公房租赁股（全额拨款）、庆</w:t>
      </w:r>
      <w:r>
        <w:rPr>
          <w:rFonts w:ascii="宋体" w:hAnsi="宋体" w:hint="eastAsia"/>
          <w:sz w:val="32"/>
          <w:szCs w:val="32"/>
        </w:rPr>
        <w:lastRenderedPageBreak/>
        <w:t>云山住房保障服务所、山巷口住房保障服务所、草尾住房保障服务所、黄茅洲住房保障服务所、南大膳住房保障服务所、胭脂湖住房保障服务所、阳罗洲住房保障服务所、赤山住房保障服务所、共双茶院住房保障服务所、团山住房保障服务所、凌云塔住房保障服务所、高新区住房保障服务所、城镇片区改造事务中心、市国有土地上房屋征收与补偿办公室。因机构改革的需要，我中心所有行政职能职责已全部划走，沅编发[2020]33号文件通知精神拟定了新的三定方案。人员情况：2019年认定人数为365人，其中：在职机关编10人、事业编214人、城镇退伍28人、退休113人。2020年认定数为305人，其中：在职机关编10人、事业编156人、城镇退伍17人、退休122人。原因：领导配线1人，由于机构改革，职能整合，调出57人，自然减员4人。</w:t>
      </w:r>
    </w:p>
    <w:p w:rsidR="00335676" w:rsidRPr="00335676" w:rsidRDefault="00335676" w:rsidP="00335676">
      <w:pPr>
        <w:widowControl/>
        <w:spacing w:line="600" w:lineRule="exact"/>
        <w:ind w:firstLineChars="100" w:firstLine="320"/>
        <w:rPr>
          <w:rFonts w:ascii="宋体" w:hAnsi="宋体" w:hint="eastAsia"/>
          <w:bCs/>
          <w:kern w:val="0"/>
          <w:sz w:val="32"/>
          <w:szCs w:val="32"/>
        </w:rPr>
      </w:pPr>
      <w:r>
        <w:rPr>
          <w:rFonts w:ascii="宋体" w:hAnsi="宋体" w:hint="eastAsia"/>
          <w:bCs/>
          <w:kern w:val="0"/>
          <w:sz w:val="32"/>
          <w:szCs w:val="32"/>
        </w:rPr>
        <w:t>（二）决算单位构成。沅江市住房保障服务中心单位2020年部门决算汇总公开单位构成包括：沅江市住房保障服务中心单位本级。</w:t>
      </w:r>
    </w:p>
    <w:p w:rsidR="00335676" w:rsidRDefault="00335676" w:rsidP="00335676">
      <w:pPr>
        <w:pStyle w:val="Default"/>
        <w:rPr>
          <w:rFonts w:ascii="宋体" w:eastAsia="宋体" w:hAnsi="宋体" w:hint="eastAsia"/>
          <w:b/>
          <w:sz w:val="32"/>
          <w:szCs w:val="32"/>
        </w:rPr>
      </w:pPr>
      <w:r>
        <w:rPr>
          <w:rFonts w:ascii="宋体" w:eastAsia="宋体" w:hAnsi="宋体" w:hint="eastAsia"/>
          <w:b/>
          <w:sz w:val="32"/>
          <w:szCs w:val="32"/>
        </w:rPr>
        <w:t>三、收入支出决算总体情况说明</w:t>
      </w:r>
    </w:p>
    <w:p w:rsidR="00335676" w:rsidRDefault="00335676" w:rsidP="00335676">
      <w:pPr>
        <w:pStyle w:val="Default"/>
        <w:ind w:firstLineChars="200" w:firstLine="640"/>
        <w:rPr>
          <w:rFonts w:ascii="宋体" w:eastAsia="宋体" w:hAnsi="宋体" w:hint="eastAsia"/>
          <w:sz w:val="32"/>
          <w:szCs w:val="32"/>
        </w:rPr>
      </w:pPr>
      <w:r>
        <w:rPr>
          <w:rFonts w:ascii="宋体" w:eastAsia="宋体" w:hAnsi="宋体" w:hint="eastAsia"/>
          <w:sz w:val="32"/>
          <w:szCs w:val="32"/>
        </w:rPr>
        <w:t>2020年度收、支总计2399.17万元。与上年相比，减少654万元，减少21.43%，主要是因为单位的机构职能划分出去，其他收入也划走了。</w:t>
      </w:r>
    </w:p>
    <w:p w:rsidR="00335676" w:rsidRDefault="00335676" w:rsidP="00335676">
      <w:pPr>
        <w:pStyle w:val="Default"/>
        <w:rPr>
          <w:rFonts w:ascii="宋体" w:eastAsia="宋体" w:hAnsi="宋体" w:hint="eastAsia"/>
          <w:b/>
          <w:sz w:val="32"/>
          <w:szCs w:val="32"/>
        </w:rPr>
      </w:pPr>
      <w:r>
        <w:rPr>
          <w:rFonts w:ascii="宋体" w:eastAsia="宋体" w:hAnsi="宋体" w:hint="eastAsia"/>
          <w:b/>
          <w:sz w:val="32"/>
          <w:szCs w:val="32"/>
        </w:rPr>
        <w:t>四、收入决算情况说明</w:t>
      </w:r>
    </w:p>
    <w:p w:rsidR="00335676" w:rsidRDefault="00335676" w:rsidP="00335676">
      <w:pPr>
        <w:pStyle w:val="Default"/>
        <w:ind w:firstLineChars="200" w:firstLine="640"/>
        <w:rPr>
          <w:rFonts w:ascii="宋体" w:eastAsia="宋体" w:hAnsi="宋体" w:hint="eastAsia"/>
          <w:sz w:val="32"/>
          <w:szCs w:val="32"/>
        </w:rPr>
      </w:pPr>
      <w:r>
        <w:rPr>
          <w:rFonts w:ascii="宋体" w:eastAsia="宋体" w:hAnsi="宋体" w:hint="eastAsia"/>
          <w:sz w:val="32"/>
          <w:szCs w:val="32"/>
        </w:rPr>
        <w:t>本年收入合计2399.17万元，其中：财政拨款收入2382.17万元，占99.3%；上级补助收入0万元，占0%；事业收入0万元，占0%；经营收入0万元，占0%；附属单位上缴收</w:t>
      </w:r>
      <w:r>
        <w:rPr>
          <w:rFonts w:ascii="宋体" w:eastAsia="宋体" w:hAnsi="宋体" w:hint="eastAsia"/>
          <w:sz w:val="32"/>
          <w:szCs w:val="32"/>
        </w:rPr>
        <w:lastRenderedPageBreak/>
        <w:t>入0万元，占0%；其他收入16.99万元，占0.7%。</w:t>
      </w:r>
    </w:p>
    <w:p w:rsidR="00335676" w:rsidRDefault="00335676" w:rsidP="00335676">
      <w:pPr>
        <w:pStyle w:val="Default"/>
        <w:rPr>
          <w:rFonts w:ascii="宋体" w:eastAsia="宋体" w:hAnsi="宋体" w:hint="eastAsia"/>
          <w:b/>
          <w:sz w:val="32"/>
          <w:szCs w:val="32"/>
        </w:rPr>
      </w:pPr>
      <w:r>
        <w:rPr>
          <w:rFonts w:ascii="宋体" w:eastAsia="宋体" w:hAnsi="宋体" w:hint="eastAsia"/>
          <w:b/>
          <w:sz w:val="32"/>
          <w:szCs w:val="32"/>
        </w:rPr>
        <w:t>五、支出决算情况说明</w:t>
      </w:r>
    </w:p>
    <w:p w:rsidR="00335676" w:rsidRDefault="00335676" w:rsidP="00335676">
      <w:pPr>
        <w:pStyle w:val="Default"/>
        <w:ind w:firstLineChars="200" w:firstLine="640"/>
        <w:rPr>
          <w:rFonts w:ascii="宋体" w:eastAsia="宋体" w:hAnsi="宋体" w:hint="eastAsia"/>
          <w:sz w:val="32"/>
          <w:szCs w:val="32"/>
        </w:rPr>
      </w:pPr>
      <w:r>
        <w:rPr>
          <w:rFonts w:ascii="宋体" w:eastAsia="宋体" w:hAnsi="宋体" w:hint="eastAsia"/>
          <w:sz w:val="32"/>
          <w:szCs w:val="32"/>
        </w:rPr>
        <w:t>本年支出合计2258.43万元，其中：基本支出2023.5万元，占89.6%；项目支出234.94万元，占10.4%；上缴上级支出0万元，占0%；经营支出0万元，占0%；对附属单位补助支出0万元，占0%。</w:t>
      </w:r>
    </w:p>
    <w:p w:rsidR="00335676" w:rsidRDefault="00335676" w:rsidP="00335676">
      <w:pPr>
        <w:pStyle w:val="Default"/>
        <w:rPr>
          <w:rFonts w:ascii="宋体" w:eastAsia="宋体" w:hAnsi="宋体" w:hint="eastAsia"/>
          <w:b/>
          <w:sz w:val="32"/>
          <w:szCs w:val="32"/>
        </w:rPr>
      </w:pPr>
      <w:r>
        <w:rPr>
          <w:rFonts w:ascii="宋体" w:eastAsia="宋体" w:hAnsi="宋体" w:hint="eastAsia"/>
          <w:b/>
          <w:sz w:val="32"/>
          <w:szCs w:val="32"/>
        </w:rPr>
        <w:t>六、财政拨款收入支出决算总体情况说明</w:t>
      </w:r>
    </w:p>
    <w:p w:rsidR="00335676" w:rsidRDefault="00335676" w:rsidP="00335676">
      <w:pPr>
        <w:autoSpaceDE w:val="0"/>
        <w:autoSpaceDN w:val="0"/>
        <w:adjustRightInd w:val="0"/>
        <w:spacing w:line="520" w:lineRule="exact"/>
        <w:ind w:firstLine="643"/>
        <w:rPr>
          <w:rFonts w:ascii="宋体" w:hAnsi="宋体" w:hint="eastAsia"/>
          <w:sz w:val="32"/>
          <w:szCs w:val="32"/>
        </w:rPr>
      </w:pPr>
      <w:r>
        <w:rPr>
          <w:rFonts w:ascii="宋体" w:hAnsi="宋体" w:hint="eastAsia"/>
          <w:sz w:val="32"/>
          <w:szCs w:val="32"/>
        </w:rPr>
        <w:t xml:space="preserve">  2020年度财政拨款收、支总计2399.17万元，与上年相比，减少654万元，减少21.43%，主要是因为单位的机构职能划分出去。其中：基本支出完成2,023万元，比上年减少862万元，下降29.87%，变化的主要原因：单位的机构职能划分出去。项目支出235万元，比上年减少21万元，下降9.57%；变化的主要原因：预算单位的专项项目收入增加。人员经费完成1,746万元，比上年减少901万元，下降34.03%，变化的主要原因：单位的机构职能划分出去；公用经费完成277万元，比上年增加39万元，增长16.45%，变化的主要原因：2020年因受疫情影响，防疫费用增加490772元，退捕禁捕工作增加费用70980元，创文工作增加费用90000元，城市片区棚改增加费用70000元。</w:t>
      </w:r>
    </w:p>
    <w:p w:rsidR="00335676" w:rsidRDefault="00335676" w:rsidP="00335676">
      <w:pPr>
        <w:pStyle w:val="Default"/>
        <w:rPr>
          <w:rFonts w:ascii="宋体" w:eastAsia="宋体" w:hAnsi="宋体" w:hint="eastAsia"/>
          <w:b/>
          <w:sz w:val="32"/>
          <w:szCs w:val="32"/>
        </w:rPr>
      </w:pPr>
      <w:r>
        <w:rPr>
          <w:rFonts w:ascii="宋体" w:eastAsia="宋体" w:hAnsi="宋体" w:hint="eastAsia"/>
          <w:b/>
          <w:sz w:val="32"/>
          <w:szCs w:val="32"/>
        </w:rPr>
        <w:t>七、一般公共预算财政拨款支出决算情况说明</w:t>
      </w:r>
    </w:p>
    <w:p w:rsidR="00335676" w:rsidRDefault="00335676" w:rsidP="00335676">
      <w:pPr>
        <w:pStyle w:val="Default"/>
        <w:ind w:firstLineChars="200" w:firstLine="643"/>
        <w:rPr>
          <w:rFonts w:ascii="宋体" w:eastAsia="宋体" w:hAnsi="宋体" w:hint="eastAsia"/>
          <w:b/>
          <w:sz w:val="32"/>
          <w:szCs w:val="32"/>
        </w:rPr>
      </w:pPr>
      <w:r>
        <w:rPr>
          <w:rFonts w:ascii="宋体" w:eastAsia="宋体" w:hAnsi="宋体" w:hint="eastAsia"/>
          <w:b/>
          <w:sz w:val="32"/>
          <w:szCs w:val="32"/>
        </w:rPr>
        <w:t>（一）财政拨款支出决算总体情况</w:t>
      </w:r>
    </w:p>
    <w:p w:rsidR="00335676" w:rsidRDefault="00335676" w:rsidP="00335676">
      <w:pPr>
        <w:pStyle w:val="Default"/>
        <w:ind w:firstLineChars="250" w:firstLine="800"/>
        <w:rPr>
          <w:rFonts w:ascii="宋体" w:eastAsia="宋体" w:hAnsi="宋体" w:hint="eastAsia"/>
          <w:sz w:val="32"/>
          <w:szCs w:val="32"/>
        </w:rPr>
      </w:pPr>
      <w:r>
        <w:rPr>
          <w:rFonts w:ascii="宋体" w:eastAsia="宋体" w:hAnsi="宋体" w:hint="eastAsia"/>
          <w:sz w:val="32"/>
          <w:szCs w:val="32"/>
        </w:rPr>
        <w:t>2020年度财政拨款支出2258.43万元，占本年支出合计的94.8%，与上年相比，财政拨款支出减少841万元，减少27.14%，主要是因为单位的机构职能划分出去，人员减少。</w:t>
      </w:r>
    </w:p>
    <w:p w:rsidR="00335676" w:rsidRDefault="00335676" w:rsidP="00335676">
      <w:pPr>
        <w:pStyle w:val="Default"/>
        <w:ind w:firstLineChars="150" w:firstLine="482"/>
        <w:rPr>
          <w:rFonts w:ascii="宋体" w:eastAsia="宋体" w:hAnsi="宋体" w:hint="eastAsia"/>
          <w:b/>
          <w:sz w:val="32"/>
          <w:szCs w:val="32"/>
        </w:rPr>
      </w:pPr>
      <w:r>
        <w:rPr>
          <w:rFonts w:ascii="宋体" w:eastAsia="宋体" w:hAnsi="宋体" w:hint="eastAsia"/>
          <w:b/>
          <w:sz w:val="32"/>
          <w:szCs w:val="32"/>
        </w:rPr>
        <w:lastRenderedPageBreak/>
        <w:t>（二）财政拨款支出决算结构情况</w:t>
      </w:r>
    </w:p>
    <w:p w:rsidR="00335676" w:rsidRDefault="00335676" w:rsidP="00335676">
      <w:pPr>
        <w:autoSpaceDE w:val="0"/>
        <w:autoSpaceDN w:val="0"/>
        <w:adjustRightInd w:val="0"/>
        <w:spacing w:line="520" w:lineRule="exact"/>
        <w:ind w:firstLine="643"/>
        <w:rPr>
          <w:rFonts w:ascii="宋体" w:hAnsi="宋体" w:hint="eastAsia"/>
          <w:sz w:val="32"/>
          <w:szCs w:val="32"/>
        </w:rPr>
      </w:pPr>
      <w:r>
        <w:rPr>
          <w:rFonts w:ascii="宋体" w:hAnsi="宋体" w:hint="eastAsia"/>
          <w:sz w:val="32"/>
          <w:szCs w:val="32"/>
        </w:rPr>
        <w:t>2020年度财政拨款支出2258.43万元，主要用于以下方面：一般公共服务（类）支出271.74万元，占12%；项目支出235万元，比上年增加21万元，增长9.57%；变化的主要原因：预算单位的专项项目收入增加。人员经费完成1746万元，比上年减少901万元，下降34.03%，变化的主要原因：单位的机构职能划分出去；公用经费完成277万元，比上年增加39万元，增长16.45%，变化的主要原因：2020年因受疫情影响，防疫费用增加490772元，退捕禁捕工作增加费用70980元，创文工作增加费用90000元，城市片区棚改增加费用70000元。</w:t>
      </w:r>
    </w:p>
    <w:p w:rsidR="00335676" w:rsidRDefault="00335676" w:rsidP="00335676">
      <w:pPr>
        <w:pStyle w:val="Default"/>
        <w:ind w:firstLineChars="250" w:firstLine="803"/>
        <w:rPr>
          <w:rFonts w:ascii="宋体" w:eastAsia="宋体" w:hAnsi="宋体" w:hint="eastAsia"/>
          <w:b/>
          <w:sz w:val="32"/>
          <w:szCs w:val="32"/>
        </w:rPr>
      </w:pPr>
      <w:r>
        <w:rPr>
          <w:rFonts w:ascii="宋体" w:eastAsia="宋体" w:hAnsi="宋体" w:hint="eastAsia"/>
          <w:b/>
          <w:sz w:val="32"/>
          <w:szCs w:val="32"/>
        </w:rPr>
        <w:t>（三）财政拨款支出决算具体情况</w:t>
      </w:r>
    </w:p>
    <w:p w:rsidR="00335676" w:rsidRDefault="00335676" w:rsidP="00335676">
      <w:pPr>
        <w:pStyle w:val="Default"/>
        <w:ind w:firstLineChars="250" w:firstLine="800"/>
        <w:rPr>
          <w:rFonts w:ascii="宋体" w:eastAsia="宋体" w:hAnsi="宋体" w:hint="eastAsia"/>
          <w:sz w:val="32"/>
          <w:szCs w:val="32"/>
        </w:rPr>
      </w:pPr>
      <w:r>
        <w:rPr>
          <w:rFonts w:ascii="宋体" w:eastAsia="宋体" w:hAnsi="宋体" w:hint="eastAsia"/>
          <w:sz w:val="32"/>
          <w:szCs w:val="32"/>
        </w:rPr>
        <w:t>2020年度财政拨款支出年初预算数为2382.17万元，支出决算数为2258.43万元，完成年初预算的94.8%，其中：</w:t>
      </w:r>
    </w:p>
    <w:p w:rsidR="00335676" w:rsidRDefault="00335676" w:rsidP="00335676">
      <w:pPr>
        <w:pStyle w:val="Default"/>
        <w:ind w:firstLineChars="250" w:firstLine="800"/>
        <w:rPr>
          <w:rFonts w:ascii="宋体" w:eastAsia="宋体" w:hAnsi="宋体" w:hint="eastAsia"/>
          <w:sz w:val="32"/>
          <w:szCs w:val="32"/>
        </w:rPr>
      </w:pPr>
      <w:r>
        <w:rPr>
          <w:rFonts w:ascii="宋体" w:eastAsia="宋体" w:hAnsi="宋体" w:hint="eastAsia"/>
          <w:sz w:val="32"/>
          <w:szCs w:val="32"/>
        </w:rPr>
        <w:t>一般公共服务年初预算为2106.311万元，支出决算为2258.433万元，完成年初预算的107%，决算数大于年初预算数的主要原因是：2020年因受疫情影响，防疫费用增加490772元，退捕禁捕工作增加费用70980元，创文工作增加费用90000元，城市片区棚改增加费用70000元。其中：</w:t>
      </w:r>
    </w:p>
    <w:p w:rsidR="00335676" w:rsidRDefault="00335676" w:rsidP="00335676">
      <w:pPr>
        <w:pStyle w:val="Default"/>
        <w:ind w:firstLineChars="250" w:firstLine="800"/>
        <w:rPr>
          <w:rFonts w:ascii="宋体" w:eastAsia="宋体" w:hAnsi="宋体" w:hint="eastAsia"/>
          <w:sz w:val="32"/>
          <w:szCs w:val="32"/>
        </w:rPr>
      </w:pPr>
      <w:r>
        <w:rPr>
          <w:rFonts w:ascii="宋体" w:eastAsia="宋体" w:hAnsi="宋体" w:hint="eastAsia"/>
          <w:sz w:val="32"/>
          <w:szCs w:val="32"/>
        </w:rPr>
        <w:t>1、201类07（款）99（项）</w:t>
      </w:r>
    </w:p>
    <w:p w:rsidR="00335676" w:rsidRDefault="00335676" w:rsidP="00335676">
      <w:pPr>
        <w:pStyle w:val="Default"/>
        <w:ind w:firstLineChars="250" w:firstLine="800"/>
        <w:rPr>
          <w:rFonts w:ascii="宋体" w:eastAsia="宋体" w:hAnsi="宋体" w:hint="eastAsia"/>
          <w:sz w:val="32"/>
          <w:szCs w:val="32"/>
        </w:rPr>
      </w:pPr>
      <w:r>
        <w:rPr>
          <w:rFonts w:ascii="宋体" w:eastAsia="宋体" w:hAnsi="宋体" w:hint="eastAsia"/>
          <w:sz w:val="32"/>
          <w:szCs w:val="32"/>
        </w:rPr>
        <w:t>一般公共服务税收事务本年收入271.74万元，本年支出271.74万元，完成年初预算的100%。</w:t>
      </w:r>
    </w:p>
    <w:p w:rsidR="00335676" w:rsidRDefault="00335676" w:rsidP="00335676">
      <w:pPr>
        <w:pStyle w:val="Default"/>
        <w:ind w:firstLineChars="250" w:firstLine="800"/>
        <w:rPr>
          <w:rFonts w:ascii="宋体" w:eastAsia="宋体" w:hAnsi="宋体" w:hint="eastAsia"/>
          <w:sz w:val="32"/>
          <w:szCs w:val="32"/>
        </w:rPr>
      </w:pPr>
      <w:r>
        <w:rPr>
          <w:rFonts w:ascii="宋体" w:eastAsia="宋体" w:hAnsi="宋体" w:hint="eastAsia"/>
          <w:sz w:val="32"/>
          <w:szCs w:val="32"/>
        </w:rPr>
        <w:t>2、城乡社区支出212（类）01（款）01（项）</w:t>
      </w:r>
    </w:p>
    <w:p w:rsidR="00335676" w:rsidRDefault="00335676" w:rsidP="00335676">
      <w:pPr>
        <w:pStyle w:val="Default"/>
        <w:ind w:firstLineChars="250" w:firstLine="800"/>
        <w:rPr>
          <w:rFonts w:ascii="宋体" w:eastAsia="宋体" w:hAnsi="宋体" w:hint="eastAsia"/>
          <w:sz w:val="32"/>
          <w:szCs w:val="32"/>
        </w:rPr>
      </w:pPr>
      <w:r>
        <w:rPr>
          <w:rFonts w:ascii="宋体" w:eastAsia="宋体" w:hAnsi="宋体" w:hint="eastAsia"/>
          <w:sz w:val="32"/>
          <w:szCs w:val="32"/>
        </w:rPr>
        <w:t>年初预算为2031.4475万元，支出决算为1907.71万元，</w:t>
      </w:r>
      <w:r>
        <w:rPr>
          <w:rFonts w:ascii="宋体" w:eastAsia="宋体" w:hAnsi="宋体" w:hint="eastAsia"/>
          <w:sz w:val="32"/>
          <w:szCs w:val="32"/>
        </w:rPr>
        <w:lastRenderedPageBreak/>
        <w:t>完成年初预算的93.9%，决算数小于年初预算数的主要原因是：项目支出节约123.74万元。</w:t>
      </w:r>
    </w:p>
    <w:p w:rsidR="00335676" w:rsidRDefault="00335676" w:rsidP="00335676">
      <w:pPr>
        <w:pStyle w:val="Default"/>
        <w:numPr>
          <w:ilvl w:val="0"/>
          <w:numId w:val="2"/>
        </w:numPr>
        <w:ind w:firstLineChars="250" w:firstLine="800"/>
        <w:rPr>
          <w:rFonts w:ascii="宋体" w:eastAsia="宋体" w:hAnsi="宋体" w:hint="eastAsia"/>
          <w:sz w:val="32"/>
          <w:szCs w:val="32"/>
        </w:rPr>
      </w:pPr>
      <w:r>
        <w:rPr>
          <w:rFonts w:ascii="宋体" w:eastAsia="宋体" w:hAnsi="宋体" w:hint="eastAsia"/>
          <w:sz w:val="32"/>
          <w:szCs w:val="32"/>
        </w:rPr>
        <w:t>住房保障支出221（类）02（款）01（项）</w:t>
      </w:r>
    </w:p>
    <w:p w:rsidR="00335676" w:rsidRDefault="00335676" w:rsidP="00335676">
      <w:pPr>
        <w:pStyle w:val="Default"/>
        <w:ind w:firstLineChars="250" w:firstLine="800"/>
        <w:rPr>
          <w:rFonts w:ascii="宋体" w:eastAsia="宋体" w:hAnsi="宋体" w:hint="eastAsia"/>
          <w:sz w:val="32"/>
          <w:szCs w:val="32"/>
        </w:rPr>
      </w:pPr>
      <w:r>
        <w:rPr>
          <w:rFonts w:ascii="宋体" w:eastAsia="宋体" w:hAnsi="宋体" w:hint="eastAsia"/>
          <w:sz w:val="32"/>
          <w:szCs w:val="32"/>
        </w:rPr>
        <w:t>年初预算为78.986万元，本年支出78.986万元，完成年初预算的100%。</w:t>
      </w:r>
    </w:p>
    <w:p w:rsidR="00335676" w:rsidRDefault="00335676" w:rsidP="00335676">
      <w:pPr>
        <w:pStyle w:val="Default"/>
        <w:rPr>
          <w:rFonts w:ascii="宋体" w:eastAsia="宋体" w:hAnsi="宋体" w:hint="eastAsia"/>
          <w:b/>
          <w:sz w:val="32"/>
          <w:szCs w:val="32"/>
        </w:rPr>
      </w:pPr>
      <w:r>
        <w:rPr>
          <w:rFonts w:ascii="宋体" w:eastAsia="宋体" w:hAnsi="宋体" w:hint="eastAsia"/>
          <w:b/>
          <w:sz w:val="32"/>
          <w:szCs w:val="32"/>
        </w:rPr>
        <w:t>八、一般公共预算财政拨款基本支出决算情况说明</w:t>
      </w:r>
    </w:p>
    <w:p w:rsidR="00335676" w:rsidRDefault="00335676" w:rsidP="00335676">
      <w:pPr>
        <w:pStyle w:val="Default"/>
        <w:ind w:firstLineChars="200" w:firstLine="640"/>
        <w:rPr>
          <w:rFonts w:ascii="宋体" w:eastAsia="宋体" w:hAnsi="宋体" w:hint="eastAsia"/>
          <w:sz w:val="32"/>
          <w:szCs w:val="32"/>
        </w:rPr>
      </w:pPr>
      <w:r>
        <w:rPr>
          <w:rFonts w:ascii="宋体" w:eastAsia="宋体" w:hAnsi="宋体" w:hint="eastAsia"/>
          <w:sz w:val="32"/>
          <w:szCs w:val="32"/>
        </w:rPr>
        <w:t>2020年度财政拨款基本支出2023.4953万元，其中：人员经费1746.118万元，占基本支出的86.3%,主要包括基本工资、津贴补贴、奖金、伙食补助费、五险一金、奖励金、抚恤金；公用经费277.3773万元，占基本支出的13.7%，主要包括办公费、印刷费、咨询费、手续费、水电费、差旅费、维修费、其他商品服务支出等。</w:t>
      </w:r>
    </w:p>
    <w:p w:rsidR="00335676" w:rsidRDefault="00335676" w:rsidP="00335676">
      <w:pPr>
        <w:pStyle w:val="Default"/>
        <w:rPr>
          <w:rFonts w:ascii="宋体" w:eastAsia="宋体" w:hAnsi="宋体" w:hint="eastAsia"/>
          <w:b/>
          <w:sz w:val="32"/>
          <w:szCs w:val="32"/>
        </w:rPr>
      </w:pPr>
      <w:r>
        <w:rPr>
          <w:rFonts w:ascii="宋体" w:eastAsia="宋体" w:hAnsi="宋体" w:hint="eastAsia"/>
          <w:b/>
          <w:sz w:val="32"/>
          <w:szCs w:val="32"/>
        </w:rPr>
        <w:t>九、一般公共预算财政拨款三公经费支出决算情况说明</w:t>
      </w:r>
    </w:p>
    <w:p w:rsidR="00335676" w:rsidRDefault="00335676" w:rsidP="00335676">
      <w:pPr>
        <w:pStyle w:val="Default"/>
        <w:rPr>
          <w:rFonts w:ascii="宋体" w:eastAsia="宋体" w:hAnsi="宋体" w:hint="eastAsia"/>
          <w:b/>
          <w:sz w:val="32"/>
          <w:szCs w:val="32"/>
        </w:rPr>
      </w:pPr>
      <w:r>
        <w:rPr>
          <w:rFonts w:ascii="宋体" w:eastAsia="宋体" w:hAnsi="宋体" w:hint="eastAsia"/>
          <w:b/>
          <w:sz w:val="32"/>
          <w:szCs w:val="32"/>
        </w:rPr>
        <w:t>（一）“三公”经费财政拨款支出决算总体情况说明</w:t>
      </w:r>
    </w:p>
    <w:p w:rsidR="00335676" w:rsidRDefault="00335676" w:rsidP="00335676">
      <w:pPr>
        <w:pStyle w:val="Default"/>
        <w:ind w:firstLineChars="250" w:firstLine="800"/>
        <w:rPr>
          <w:rFonts w:ascii="宋体" w:eastAsia="宋体" w:hAnsi="宋体" w:hint="eastAsia"/>
          <w:sz w:val="32"/>
          <w:szCs w:val="32"/>
        </w:rPr>
      </w:pPr>
      <w:r>
        <w:rPr>
          <w:rFonts w:ascii="宋体" w:eastAsia="宋体" w:hAnsi="宋体" w:hint="eastAsia"/>
          <w:sz w:val="32"/>
          <w:szCs w:val="32"/>
        </w:rPr>
        <w:t>“三公”经费财政拨款支出预算为13.45万元，支出决算为14.065万元，完成预算的104.5%，其中：</w:t>
      </w:r>
    </w:p>
    <w:p w:rsidR="00335676" w:rsidRDefault="00335676" w:rsidP="00335676">
      <w:pPr>
        <w:pStyle w:val="Default"/>
        <w:ind w:firstLineChars="250" w:firstLine="800"/>
        <w:rPr>
          <w:rFonts w:ascii="宋体" w:eastAsia="宋体" w:hAnsi="宋体" w:hint="eastAsia"/>
          <w:sz w:val="32"/>
          <w:szCs w:val="32"/>
        </w:rPr>
      </w:pPr>
      <w:r>
        <w:rPr>
          <w:rFonts w:ascii="宋体" w:eastAsia="宋体" w:hAnsi="宋体" w:hint="eastAsia"/>
          <w:sz w:val="32"/>
          <w:szCs w:val="32"/>
        </w:rPr>
        <w:t>因公出国（境）费支出预算为0万元，支出决算为0万元，完成预算的0%，预算数的主要原因是无公费出国（境）。</w:t>
      </w:r>
    </w:p>
    <w:p w:rsidR="00335676" w:rsidRDefault="00335676" w:rsidP="00335676">
      <w:pPr>
        <w:pStyle w:val="Default"/>
        <w:ind w:firstLineChars="250" w:firstLine="800"/>
        <w:rPr>
          <w:rFonts w:ascii="宋体" w:eastAsia="宋体" w:hAnsi="宋体" w:hint="eastAsia"/>
          <w:sz w:val="32"/>
          <w:szCs w:val="32"/>
        </w:rPr>
      </w:pPr>
      <w:r>
        <w:rPr>
          <w:rFonts w:ascii="宋体" w:eastAsia="宋体" w:hAnsi="宋体" w:hint="eastAsia"/>
          <w:sz w:val="32"/>
          <w:szCs w:val="32"/>
        </w:rPr>
        <w:t>公务接待费支出预算为13.45万元，支出决算为14.065万元，完成预算的104.5%，决算数大于预算数的主要原因是因片区棚户区改造项目增加，公务接待增加。</w:t>
      </w:r>
    </w:p>
    <w:p w:rsidR="00335676" w:rsidRDefault="00335676" w:rsidP="00335676">
      <w:pPr>
        <w:pStyle w:val="Default"/>
        <w:ind w:firstLineChars="200" w:firstLine="640"/>
        <w:rPr>
          <w:rFonts w:ascii="宋体" w:eastAsia="宋体" w:hAnsi="宋体" w:hint="eastAsia"/>
          <w:sz w:val="32"/>
          <w:szCs w:val="32"/>
        </w:rPr>
      </w:pPr>
      <w:r>
        <w:rPr>
          <w:rFonts w:ascii="宋体" w:eastAsia="宋体" w:hAnsi="宋体" w:hint="eastAsia"/>
          <w:sz w:val="32"/>
          <w:szCs w:val="32"/>
        </w:rPr>
        <w:t>公务用车购置费及运行维护费支出预算为0万元，支出</w:t>
      </w:r>
      <w:r>
        <w:rPr>
          <w:rFonts w:ascii="宋体" w:eastAsia="宋体" w:hAnsi="宋体" w:hint="eastAsia"/>
          <w:sz w:val="32"/>
          <w:szCs w:val="32"/>
        </w:rPr>
        <w:lastRenderedPageBreak/>
        <w:t>决算为0万元，完成预算的0%，无公车。</w:t>
      </w:r>
    </w:p>
    <w:p w:rsidR="00335676" w:rsidRDefault="00335676" w:rsidP="00335676">
      <w:pPr>
        <w:pStyle w:val="Default"/>
        <w:rPr>
          <w:rFonts w:ascii="宋体" w:eastAsia="宋体" w:hAnsi="宋体" w:hint="eastAsia"/>
          <w:b/>
          <w:sz w:val="32"/>
          <w:szCs w:val="32"/>
        </w:rPr>
      </w:pPr>
      <w:r>
        <w:rPr>
          <w:rFonts w:ascii="宋体" w:eastAsia="宋体" w:hAnsi="宋体" w:hint="eastAsia"/>
          <w:b/>
          <w:sz w:val="32"/>
          <w:szCs w:val="32"/>
        </w:rPr>
        <w:t>（二）“三公”经费财政拨款支出决算具体情况说明</w:t>
      </w:r>
    </w:p>
    <w:p w:rsidR="00335676" w:rsidRDefault="00335676" w:rsidP="00335676">
      <w:pPr>
        <w:pStyle w:val="Default"/>
        <w:ind w:firstLineChars="200" w:firstLine="640"/>
        <w:rPr>
          <w:rFonts w:ascii="宋体" w:eastAsia="宋体" w:hAnsi="宋体" w:hint="eastAsia"/>
          <w:sz w:val="32"/>
          <w:szCs w:val="32"/>
        </w:rPr>
      </w:pPr>
      <w:r>
        <w:rPr>
          <w:rFonts w:ascii="宋体" w:eastAsia="宋体" w:hAnsi="宋体" w:hint="eastAsia"/>
          <w:sz w:val="32"/>
          <w:szCs w:val="32"/>
        </w:rPr>
        <w:t>2020年度“三公”经费财政拨款支出决算中，公务接待费支出决算14.065万元，占100%,因公出国（境）费支出决算0万元，占0%,公务用车购置费及运行维护费支出决算0万元，占0%。其中：</w:t>
      </w:r>
    </w:p>
    <w:p w:rsidR="00335676" w:rsidRDefault="00335676" w:rsidP="00335676">
      <w:pPr>
        <w:pStyle w:val="Default"/>
        <w:ind w:firstLineChars="250" w:firstLine="800"/>
        <w:rPr>
          <w:rFonts w:ascii="宋体" w:eastAsia="宋体" w:hAnsi="宋体" w:hint="eastAsia"/>
          <w:sz w:val="32"/>
          <w:szCs w:val="32"/>
        </w:rPr>
      </w:pPr>
      <w:r>
        <w:rPr>
          <w:rFonts w:ascii="宋体" w:eastAsia="宋体" w:hAnsi="宋体" w:hint="eastAsia"/>
          <w:sz w:val="32"/>
          <w:szCs w:val="32"/>
        </w:rPr>
        <w:t>1、因公出国（境）费支出决算为0万元。</w:t>
      </w:r>
    </w:p>
    <w:p w:rsidR="00335676" w:rsidRDefault="00335676" w:rsidP="00335676">
      <w:pPr>
        <w:pStyle w:val="Default"/>
        <w:ind w:firstLineChars="250" w:firstLine="800"/>
        <w:rPr>
          <w:rFonts w:ascii="宋体" w:eastAsia="宋体" w:hAnsi="宋体" w:hint="eastAsia"/>
          <w:sz w:val="32"/>
          <w:szCs w:val="32"/>
        </w:rPr>
      </w:pPr>
      <w:r>
        <w:rPr>
          <w:rFonts w:ascii="宋体" w:eastAsia="宋体" w:hAnsi="宋体" w:hint="eastAsia"/>
          <w:sz w:val="32"/>
          <w:szCs w:val="32"/>
        </w:rPr>
        <w:t>2、公务接待费支出决算为14.065万元，全年共接待来访团组10个、来宾1172人次，主要是住房保障工作检查与棚户区片区改造项目招商引资发生的接待支出。</w:t>
      </w:r>
    </w:p>
    <w:p w:rsidR="00335676" w:rsidRDefault="00335676" w:rsidP="00335676">
      <w:pPr>
        <w:ind w:firstLineChars="250" w:firstLine="800"/>
        <w:rPr>
          <w:rFonts w:ascii="宋体" w:hAnsi="宋体" w:hint="eastAsia"/>
          <w:color w:val="000000"/>
          <w:kern w:val="0"/>
          <w:sz w:val="32"/>
          <w:szCs w:val="32"/>
        </w:rPr>
      </w:pPr>
      <w:r>
        <w:rPr>
          <w:rFonts w:ascii="宋体" w:hAnsi="宋体" w:hint="eastAsia"/>
          <w:sz w:val="32"/>
          <w:szCs w:val="32"/>
        </w:rPr>
        <w:t>3、公务用车购置费及运行维护费支出决算为0万元，其中：公务用车购置费0万元.</w:t>
      </w:r>
    </w:p>
    <w:p w:rsidR="00335676" w:rsidRDefault="00335676" w:rsidP="00335676">
      <w:pPr>
        <w:pStyle w:val="Default"/>
        <w:rPr>
          <w:rFonts w:ascii="宋体" w:eastAsia="宋体" w:hAnsi="宋体" w:hint="eastAsia"/>
          <w:b/>
          <w:sz w:val="32"/>
          <w:szCs w:val="32"/>
        </w:rPr>
      </w:pPr>
      <w:r>
        <w:rPr>
          <w:rFonts w:ascii="宋体" w:eastAsia="宋体" w:hAnsi="宋体" w:hint="eastAsia"/>
          <w:b/>
          <w:sz w:val="32"/>
          <w:szCs w:val="32"/>
        </w:rPr>
        <w:t>十、政府性基金预算收入支出决算情况</w:t>
      </w:r>
    </w:p>
    <w:p w:rsidR="00335676" w:rsidRDefault="00335676" w:rsidP="00335676">
      <w:pPr>
        <w:pStyle w:val="Default"/>
        <w:rPr>
          <w:rFonts w:ascii="宋体" w:eastAsia="宋体" w:hAnsi="宋体" w:hint="eastAsia"/>
          <w:b/>
          <w:sz w:val="32"/>
          <w:szCs w:val="32"/>
        </w:rPr>
      </w:pPr>
      <w:r>
        <w:rPr>
          <w:rFonts w:ascii="宋体" w:eastAsia="宋体" w:hAnsi="宋体" w:hint="eastAsia"/>
          <w:sz w:val="32"/>
          <w:szCs w:val="32"/>
        </w:rPr>
        <w:t xml:space="preserve">     2020年度政府性基金预算财政拨款收入0万元；年初结转和结余0万元；支出0万元，其中基本支出0万元，项目支出0万元；年末结转和结余0万元。</w:t>
      </w:r>
      <w:r>
        <w:rPr>
          <w:rFonts w:ascii="宋体" w:eastAsia="宋体" w:hAnsi="宋体" w:hint="eastAsia"/>
          <w:b/>
          <w:sz w:val="32"/>
          <w:szCs w:val="32"/>
        </w:rPr>
        <w:t>九、关于机关运行经费支出说明</w:t>
      </w:r>
    </w:p>
    <w:p w:rsidR="00335676" w:rsidRDefault="00335676" w:rsidP="00335676">
      <w:pPr>
        <w:pStyle w:val="Default"/>
        <w:ind w:firstLineChars="200" w:firstLine="640"/>
        <w:rPr>
          <w:rFonts w:ascii="宋体" w:eastAsia="宋体" w:hAnsi="宋体" w:hint="eastAsia"/>
          <w:sz w:val="32"/>
          <w:szCs w:val="32"/>
        </w:rPr>
      </w:pPr>
      <w:r>
        <w:rPr>
          <w:rFonts w:ascii="宋体" w:eastAsia="宋体" w:hAnsi="宋体" w:hint="eastAsia"/>
          <w:sz w:val="32"/>
          <w:szCs w:val="32"/>
        </w:rPr>
        <w:t>本部门2020年度机关运行经费支出277.3773万元，比年初预算数增加94.3773万元，增长51.6%。主要原因是：2020年因受疫情影响，防疫费用增加490772元，退捕禁捕工作增加费用70980元，创文工作增加费用90000元，城市片区棚改增加费用70000元。。</w:t>
      </w:r>
    </w:p>
    <w:p w:rsidR="00335676" w:rsidRDefault="00335676" w:rsidP="00335676">
      <w:pPr>
        <w:pStyle w:val="Default"/>
        <w:rPr>
          <w:rFonts w:ascii="宋体" w:eastAsia="宋体" w:hAnsi="宋体" w:hint="eastAsia"/>
          <w:b/>
          <w:sz w:val="32"/>
          <w:szCs w:val="32"/>
        </w:rPr>
      </w:pPr>
      <w:r>
        <w:rPr>
          <w:rFonts w:ascii="宋体" w:eastAsia="宋体" w:hAnsi="宋体" w:hint="eastAsia"/>
          <w:b/>
          <w:sz w:val="32"/>
          <w:szCs w:val="32"/>
        </w:rPr>
        <w:lastRenderedPageBreak/>
        <w:t>十一、一般性支出情况</w:t>
      </w:r>
    </w:p>
    <w:p w:rsidR="00335676" w:rsidRDefault="00335676" w:rsidP="00335676">
      <w:pPr>
        <w:pStyle w:val="Default"/>
        <w:ind w:firstLineChars="200" w:firstLine="640"/>
        <w:rPr>
          <w:rFonts w:ascii="宋体" w:eastAsia="宋体" w:hAnsi="宋体" w:hint="eastAsia"/>
          <w:sz w:val="32"/>
          <w:szCs w:val="32"/>
        </w:rPr>
      </w:pPr>
      <w:r>
        <w:rPr>
          <w:rFonts w:ascii="宋体" w:eastAsia="宋体" w:hAnsi="宋体" w:hint="eastAsia"/>
          <w:sz w:val="32"/>
          <w:szCs w:val="32"/>
        </w:rPr>
        <w:t>2020年本部门开支会议费1.3575万元，用于召开部门经济工作会议，人数62人，内容为上年工作总结、当年工作布置和工作要求、签订责任状；开支培训费0.535万元，用于开展反腐倡廉工作会议和报账员财务管理培训，人数51人，内容为财务管理知识和注意事项、观看电教片；举办老年人重阳节节庆活动，开支0.4981万元，主要是座谈会和文艺晚会。</w:t>
      </w:r>
    </w:p>
    <w:p w:rsidR="00335676" w:rsidRDefault="00335676" w:rsidP="00335676">
      <w:pPr>
        <w:pStyle w:val="Default"/>
        <w:rPr>
          <w:rFonts w:ascii="宋体" w:eastAsia="宋体" w:hAnsi="宋体" w:hint="eastAsia"/>
          <w:b/>
          <w:sz w:val="32"/>
          <w:szCs w:val="32"/>
        </w:rPr>
      </w:pPr>
      <w:r>
        <w:rPr>
          <w:rFonts w:ascii="宋体" w:eastAsia="宋体" w:hAnsi="宋体" w:hint="eastAsia"/>
          <w:b/>
          <w:sz w:val="32"/>
          <w:szCs w:val="32"/>
        </w:rPr>
        <w:t>十二、关于政府采购支出说明</w:t>
      </w:r>
    </w:p>
    <w:p w:rsidR="00335676" w:rsidRDefault="00335676" w:rsidP="00335676">
      <w:pPr>
        <w:pStyle w:val="Default"/>
        <w:ind w:firstLineChars="200" w:firstLine="640"/>
        <w:rPr>
          <w:rFonts w:ascii="宋体" w:eastAsia="宋体" w:hAnsi="宋体" w:hint="eastAsia"/>
          <w:sz w:val="32"/>
          <w:szCs w:val="32"/>
        </w:rPr>
      </w:pPr>
      <w:r>
        <w:rPr>
          <w:rFonts w:ascii="宋体" w:eastAsia="宋体" w:hAnsi="宋体" w:hint="eastAsia"/>
          <w:sz w:val="32"/>
          <w:szCs w:val="32"/>
        </w:rPr>
        <w:t>本部门2020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rsidR="00335676" w:rsidRDefault="00335676" w:rsidP="00335676">
      <w:pPr>
        <w:pStyle w:val="Default"/>
        <w:rPr>
          <w:rFonts w:ascii="宋体" w:eastAsia="宋体" w:hAnsi="宋体" w:hint="eastAsia"/>
          <w:b/>
          <w:sz w:val="32"/>
          <w:szCs w:val="32"/>
        </w:rPr>
      </w:pPr>
      <w:r>
        <w:rPr>
          <w:rFonts w:ascii="宋体" w:eastAsia="宋体" w:hAnsi="宋体" w:hint="eastAsia"/>
          <w:b/>
          <w:sz w:val="32"/>
          <w:szCs w:val="32"/>
        </w:rPr>
        <w:t>十三、关于国有资产占用情况说明</w:t>
      </w:r>
    </w:p>
    <w:p w:rsidR="00335676" w:rsidRDefault="00335676" w:rsidP="00335676">
      <w:pPr>
        <w:pStyle w:val="Default"/>
        <w:ind w:firstLineChars="200" w:firstLine="640"/>
        <w:rPr>
          <w:rFonts w:ascii="宋体" w:eastAsia="宋体" w:hAnsi="宋体" w:hint="eastAsia"/>
          <w:sz w:val="32"/>
          <w:szCs w:val="32"/>
        </w:rPr>
      </w:pPr>
      <w:r>
        <w:rPr>
          <w:rFonts w:ascii="宋体" w:eastAsia="宋体" w:hAnsi="宋体" w:hint="eastAsia"/>
          <w:sz w:val="32"/>
          <w:szCs w:val="32"/>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rsidR="00335676" w:rsidRDefault="00335676" w:rsidP="00335676">
      <w:pPr>
        <w:pStyle w:val="Default"/>
        <w:rPr>
          <w:rFonts w:ascii="宋体" w:eastAsia="宋体" w:hAnsi="宋体" w:hint="eastAsia"/>
          <w:b/>
          <w:sz w:val="32"/>
          <w:szCs w:val="32"/>
        </w:rPr>
      </w:pPr>
      <w:r>
        <w:rPr>
          <w:rFonts w:ascii="宋体" w:eastAsia="宋体" w:hAnsi="宋体" w:hint="eastAsia"/>
          <w:b/>
          <w:sz w:val="32"/>
          <w:szCs w:val="32"/>
        </w:rPr>
        <w:t>十四、关于2020年度预算绩效情况的说明</w:t>
      </w:r>
    </w:p>
    <w:p w:rsidR="00335676" w:rsidRDefault="00335676" w:rsidP="00335676">
      <w:pPr>
        <w:autoSpaceDE w:val="0"/>
        <w:autoSpaceDN w:val="0"/>
        <w:adjustRightInd w:val="0"/>
        <w:spacing w:line="520" w:lineRule="exact"/>
        <w:ind w:firstLine="640"/>
        <w:rPr>
          <w:rFonts w:ascii="宋体" w:hAnsi="宋体" w:hint="eastAsia"/>
          <w:sz w:val="32"/>
          <w:szCs w:val="32"/>
        </w:rPr>
      </w:pPr>
      <w:r>
        <w:rPr>
          <w:rFonts w:ascii="宋体" w:hAnsi="宋体" w:hint="eastAsia"/>
          <w:sz w:val="32"/>
          <w:szCs w:val="32"/>
        </w:rPr>
        <w:t>本部门预算绩效管理开展情况、绩效目标和绩效评价报</w:t>
      </w:r>
      <w:r>
        <w:rPr>
          <w:rFonts w:ascii="宋体" w:hAnsi="宋体" w:hint="eastAsia"/>
          <w:sz w:val="32"/>
          <w:szCs w:val="32"/>
        </w:rPr>
        <w:lastRenderedPageBreak/>
        <w:t>告：</w:t>
      </w:r>
      <w:r>
        <w:rPr>
          <w:rFonts w:ascii="宋体" w:hAnsi="宋体" w:hint="eastAsia"/>
          <w:kern w:val="0"/>
          <w:sz w:val="32"/>
          <w:szCs w:val="32"/>
        </w:rPr>
        <w:t>拟订了全市住房保障的配套政策措施;负责做好了组织编制全市住房保障和城市棚户区改造建设规划、年度计划;负责做好了全市住房保障和城市棚户区改造的立项争资工作; 负责指导好了全市住房保障的建设和管理并督查督办;负责指导好了棚户区改造工作；会同有关部门做好住房保障资金的安排和监管;参与查处了住房保障工作中的违规违纪问题；负责做好了廉租房、公租房租金收缴和国有土地上房屋征收与补偿工作。</w:t>
      </w:r>
    </w:p>
    <w:p w:rsidR="00335676" w:rsidRDefault="00335676" w:rsidP="00335676">
      <w:pPr>
        <w:jc w:val="left"/>
        <w:rPr>
          <w:rFonts w:ascii="宋体" w:hAnsi="宋体" w:hint="eastAsia"/>
          <w:sz w:val="28"/>
          <w:szCs w:val="28"/>
        </w:rPr>
      </w:pPr>
    </w:p>
    <w:p w:rsidR="0041321F" w:rsidRDefault="0041321F"/>
    <w:sectPr w:rsidR="0041321F" w:rsidSect="004132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A414E"/>
    <w:multiLevelType w:val="multilevel"/>
    <w:tmpl w:val="593A6AEC"/>
    <w:lvl w:ilvl="0">
      <w:start w:val="1"/>
      <w:numFmt w:val="none"/>
      <w:lvlText w:val="一、"/>
      <w:lvlJc w:val="left"/>
      <w:pPr>
        <w:ind w:left="930" w:hanging="720"/>
      </w:pPr>
      <w:rPr>
        <w:rFonts w:ascii="Times New Roman" w:hAnsi="Times New Roman" w:cs="Times New Roman" w:hint="default"/>
      </w:rPr>
    </w:lvl>
    <w:lvl w:ilvl="1">
      <w:start w:val="1"/>
      <w:numFmt w:val="lowerLetter"/>
      <w:lvlText w:val="%2)"/>
      <w:lvlJc w:val="left"/>
      <w:pPr>
        <w:ind w:left="1050" w:hanging="420"/>
      </w:pPr>
      <w:rPr>
        <w:rFonts w:ascii="Times New Roman" w:hAnsi="Times New Roman" w:cs="Times New Roman" w:hint="default"/>
      </w:rPr>
    </w:lvl>
    <w:lvl w:ilvl="2">
      <w:start w:val="1"/>
      <w:numFmt w:val="lowerRoman"/>
      <w:lvlText w:val="%3."/>
      <w:lvlJc w:val="right"/>
      <w:pPr>
        <w:ind w:left="1470" w:hanging="420"/>
      </w:pPr>
      <w:rPr>
        <w:rFonts w:ascii="Times New Roman" w:hAnsi="Times New Roman" w:cs="Times New Roman" w:hint="default"/>
      </w:rPr>
    </w:lvl>
    <w:lvl w:ilvl="3">
      <w:start w:val="1"/>
      <w:numFmt w:val="decimal"/>
      <w:lvlText w:val="%4."/>
      <w:lvlJc w:val="left"/>
      <w:pPr>
        <w:ind w:left="1890" w:hanging="420"/>
      </w:pPr>
      <w:rPr>
        <w:rFonts w:ascii="Times New Roman" w:hAnsi="Times New Roman" w:cs="Times New Roman" w:hint="default"/>
      </w:rPr>
    </w:lvl>
    <w:lvl w:ilvl="4">
      <w:start w:val="1"/>
      <w:numFmt w:val="lowerLetter"/>
      <w:lvlText w:val="%5)"/>
      <w:lvlJc w:val="left"/>
      <w:pPr>
        <w:ind w:left="2310" w:hanging="420"/>
      </w:pPr>
      <w:rPr>
        <w:rFonts w:ascii="Times New Roman" w:hAnsi="Times New Roman" w:cs="Times New Roman" w:hint="default"/>
      </w:rPr>
    </w:lvl>
    <w:lvl w:ilvl="5">
      <w:start w:val="1"/>
      <w:numFmt w:val="lowerRoman"/>
      <w:lvlText w:val="%6."/>
      <w:lvlJc w:val="right"/>
      <w:pPr>
        <w:ind w:left="2730" w:hanging="420"/>
      </w:pPr>
      <w:rPr>
        <w:rFonts w:ascii="Times New Roman" w:hAnsi="Times New Roman" w:cs="Times New Roman" w:hint="default"/>
      </w:rPr>
    </w:lvl>
    <w:lvl w:ilvl="6">
      <w:start w:val="1"/>
      <w:numFmt w:val="decimal"/>
      <w:lvlText w:val="%7."/>
      <w:lvlJc w:val="left"/>
      <w:pPr>
        <w:ind w:left="3150" w:hanging="420"/>
      </w:pPr>
      <w:rPr>
        <w:rFonts w:ascii="Times New Roman" w:hAnsi="Times New Roman" w:cs="Times New Roman" w:hint="default"/>
      </w:rPr>
    </w:lvl>
    <w:lvl w:ilvl="7">
      <w:start w:val="1"/>
      <w:numFmt w:val="lowerLetter"/>
      <w:lvlText w:val="%8)"/>
      <w:lvlJc w:val="left"/>
      <w:pPr>
        <w:ind w:left="3570" w:hanging="420"/>
      </w:pPr>
      <w:rPr>
        <w:rFonts w:ascii="Times New Roman" w:hAnsi="Times New Roman" w:cs="Times New Roman" w:hint="default"/>
      </w:rPr>
    </w:lvl>
    <w:lvl w:ilvl="8">
      <w:start w:val="1"/>
      <w:numFmt w:val="lowerRoman"/>
      <w:lvlText w:val="%9."/>
      <w:lvlJc w:val="right"/>
      <w:pPr>
        <w:ind w:left="3990" w:hanging="420"/>
      </w:pPr>
      <w:rPr>
        <w:rFonts w:ascii="Times New Roman" w:hAnsi="Times New Roman" w:cs="Times New Roman" w:hint="default"/>
      </w:rPr>
    </w:lvl>
  </w:abstractNum>
  <w:abstractNum w:abstractNumId="1">
    <w:nsid w:val="7AC94F8E"/>
    <w:multiLevelType w:val="multilevel"/>
    <w:tmpl w:val="89749C82"/>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5676"/>
    <w:rsid w:val="00335676"/>
    <w:rsid w:val="00413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676"/>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335676"/>
    <w:pPr>
      <w:autoSpaceDE w:val="0"/>
      <w:autoSpaceDN w:val="0"/>
      <w:adjustRightInd w:val="0"/>
      <w:jc w:val="left"/>
    </w:pPr>
    <w:rPr>
      <w:rFonts w:ascii="黑体" w:eastAsia="黑体" w:cs="宋体"/>
      <w:color w:val="000000"/>
      <w:kern w:val="0"/>
      <w:sz w:val="24"/>
      <w:szCs w:val="24"/>
    </w:rPr>
  </w:style>
  <w:style w:type="paragraph" w:customStyle="1" w:styleId="ListParagraph">
    <w:name w:val="List Paragraph"/>
    <w:basedOn w:val="a"/>
    <w:rsid w:val="00335676"/>
    <w:pPr>
      <w:ind w:firstLineChars="200" w:firstLine="420"/>
    </w:pPr>
  </w:style>
</w:styles>
</file>

<file path=word/webSettings.xml><?xml version="1.0" encoding="utf-8"?>
<w:webSettings xmlns:r="http://schemas.openxmlformats.org/officeDocument/2006/relationships" xmlns:w="http://schemas.openxmlformats.org/wordprocessingml/2006/main">
  <w:divs>
    <w:div w:id="1046492783">
      <w:bodyDiv w:val="1"/>
      <w:marLeft w:val="0"/>
      <w:marRight w:val="0"/>
      <w:marTop w:val="0"/>
      <w:marBottom w:val="0"/>
      <w:divBdr>
        <w:top w:val="none" w:sz="0" w:space="0" w:color="auto"/>
        <w:left w:val="none" w:sz="0" w:space="0" w:color="auto"/>
        <w:bottom w:val="none" w:sz="0" w:space="0" w:color="auto"/>
        <w:right w:val="none" w:sz="0" w:space="0" w:color="auto"/>
      </w:divBdr>
    </w:div>
    <w:div w:id="130805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620</Words>
  <Characters>3539</Characters>
  <Application>Microsoft Office Word</Application>
  <DocSecurity>0</DocSecurity>
  <Lines>29</Lines>
  <Paragraphs>8</Paragraphs>
  <ScaleCrop>false</ScaleCrop>
  <Company>微软中国</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2021-11-29T06:55:00Z</dcterms:created>
  <dcterms:modified xsi:type="dcterms:W3CDTF">2021-11-29T07:04:00Z</dcterms:modified>
</cp:coreProperties>
</file>