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rFonts w:hint="eastAsia"/>
          <w:sz w:val="84"/>
          <w:szCs w:val="84"/>
        </w:rPr>
      </w:pPr>
      <w:r>
        <w:rPr>
          <w:rFonts w:hint="eastAsia"/>
          <w:sz w:val="84"/>
          <w:szCs w:val="84"/>
          <w:lang w:eastAsia="zh-CN"/>
        </w:rPr>
        <w:t>沅江市民政局</w:t>
      </w:r>
      <w:r>
        <w:rPr>
          <w:rFonts w:hint="eastAsia"/>
          <w:sz w:val="84"/>
          <w:szCs w:val="84"/>
        </w:rPr>
        <w:t>部门决算</w:t>
      </w:r>
    </w:p>
    <w:p>
      <w:pPr>
        <w:pStyle w:val="9"/>
        <w:jc w:val="center"/>
        <w:rPr>
          <w:rFonts w:hint="eastAsia"/>
          <w:sz w:val="84"/>
          <w:szCs w:val="84"/>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lang w:eastAsia="zh-CN"/>
        </w:rPr>
        <w:t>沅江市民政局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（一）贯彻执行关于民政工作的法律法规和方针政策，拟订全市民政事业发展规划和政策并组织实施和监督检查。</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（二）依法对全市社会团体、基金会、社会服务机构等社会组织进行登记管理和执法监督。</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（三）拟订全市社会救助规划、制度和标准，负责城乡居民低收入家庭认定、最低生活保障、特困人员救助供养、临时救助、生活无着流浪乞讨人员救助工作。</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（四）拟订全市城乡基层群众自治建设和社区治理政策，指导城乡社区治理体系和治理能力建设，提出加强和改进城乡基层政权建设的建议，推动基层民主政治建设。</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（五）拟订全市行政区划总体规划、地名管理办法并组织实施；组织指导行政区域界线的勘定和管理工作；负责全市法定行政区域界线争议的调查和调处工作；负责地名管理工作。</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（六）贯彻实施有关婚姻管理的法规和政策，推进婚俗改革。</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（七）贯彻实施殡葬管理政策、拟订服务规范并组织实施，推进殡葬改革。</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（八）统筹推进、督促指导、监督管理全市养老服务工作，拟订养老服务体系建设规划、政策、标准并组织实施，承担老年人福利和特殊困难老年人救助工作。</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（九）贯彻实施有关残疾人权益保护的法律法规和政策，统筹推进残疾人福利制度建设和康复辅助器具产业发展。</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（十）贯彻实施有关儿童福利、孤弃儿童保障、儿童收养、儿童救助保护的政策、标准，健全农村留守儿童关爱服务体系和困境儿童保障制度。</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（十一）拟订促进全市慈善事业发展的政策并组织实施，组织、指导社会捐助工作，负责全市福利彩票发行管理工作。</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（十二）拟订全市社会工作、志愿服务的政策和标准，会同有关部门推进社会工作人才队伍建设和志愿者队伍建设。</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（十三）完成市委、市政府交办的其他任务。</w:t>
      </w:r>
    </w:p>
    <w:p>
      <w:pPr>
        <w:widowControl/>
        <w:shd w:val="clear" w:color="auto" w:fill="FFFFFF"/>
        <w:spacing w:before="100" w:after="100" w:line="560" w:lineRule="atLeast"/>
        <w:ind w:firstLine="480" w:firstLineChars="150"/>
        <w:jc w:val="left"/>
        <w:rPr>
          <w:rFonts w:ascii="仿宋_GB2312" w:eastAsia="仿宋_GB2312" w:hAnsiTheme="minorEastAsia"/>
          <w:sz w:val="28"/>
          <w:szCs w:val="32"/>
        </w:rPr>
      </w:pPr>
      <w:r>
        <w:rPr>
          <w:rFonts w:hint="eastAsia" w:ascii="仿宋" w:hAnsi="仿宋" w:eastAsia="仿宋" w:cs="Times New Roman"/>
          <w:color w:val="000000"/>
          <w:sz w:val="32"/>
          <w:szCs w:val="32"/>
          <w:shd w:val="clear" w:color="auto" w:fill="FFFFFF"/>
        </w:rPr>
        <w:t>（十四）职能转变。强化基本民生保障职能，为全市困难群众、孤老孤残孤儿等特殊群体提供基本社会服务，促进资源向薄弱地区、领域、环节倾斜。积极培育社会组织、社会工作者等多元参与主体，推动搭建全市基层社会治理和社区公共服务平台。</w:t>
      </w:r>
    </w:p>
    <w:p>
      <w:pPr>
        <w:widowControl/>
        <w:spacing w:line="600" w:lineRule="exact"/>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宋体" w:hAnsi="宋体" w:eastAsia="宋体" w:cs="宋体"/>
          <w:color w:val="000000"/>
          <w:sz w:val="32"/>
          <w:szCs w:val="32"/>
          <w:shd w:val="clear" w:color="auto" w:fill="FFFFFF"/>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沅江市民政局</w:t>
      </w:r>
      <w:r>
        <w:rPr>
          <w:rFonts w:hint="eastAsia" w:asciiTheme="minorEastAsia" w:hAnsiTheme="minorEastAsia"/>
          <w:bCs/>
          <w:kern w:val="0"/>
          <w:sz w:val="32"/>
          <w:szCs w:val="32"/>
        </w:rPr>
        <w:t>内设</w:t>
      </w:r>
      <w:r>
        <w:rPr>
          <w:rFonts w:hint="eastAsia" w:ascii="宋体" w:hAnsi="宋体" w:eastAsia="宋体" w:cs="宋体"/>
          <w:color w:val="000000"/>
          <w:kern w:val="0"/>
          <w:sz w:val="32"/>
          <w:szCs w:val="32"/>
        </w:rPr>
        <w:t>股室</w:t>
      </w:r>
      <w:r>
        <w:rPr>
          <w:rFonts w:hint="eastAsia" w:ascii="宋体" w:hAnsi="宋体" w:eastAsia="宋体" w:cs="宋体"/>
          <w:color w:val="000000"/>
          <w:kern w:val="0"/>
          <w:sz w:val="32"/>
          <w:szCs w:val="32"/>
          <w:u w:val="single"/>
        </w:rPr>
        <w:t> </w:t>
      </w:r>
      <w:r>
        <w:rPr>
          <w:rFonts w:hint="eastAsia" w:ascii="宋体" w:hAnsi="宋体" w:eastAsia="宋体" w:cs="宋体"/>
          <w:color w:val="000000"/>
          <w:kern w:val="0"/>
          <w:sz w:val="32"/>
          <w:szCs w:val="32"/>
          <w:u w:val="single"/>
          <w:lang w:val="en-US" w:eastAsia="zh-CN"/>
        </w:rPr>
        <w:t>7</w:t>
      </w:r>
      <w:r>
        <w:rPr>
          <w:rFonts w:hint="eastAsia" w:ascii="宋体" w:hAnsi="宋体" w:eastAsia="宋体" w:cs="宋体"/>
          <w:color w:val="000000"/>
          <w:kern w:val="0"/>
          <w:sz w:val="32"/>
          <w:szCs w:val="32"/>
          <w:u w:val="single"/>
        </w:rPr>
        <w:t> </w:t>
      </w:r>
      <w:r>
        <w:rPr>
          <w:rFonts w:hint="eastAsia" w:ascii="宋体" w:hAnsi="宋体" w:eastAsia="宋体" w:cs="宋体"/>
          <w:color w:val="000000"/>
          <w:kern w:val="0"/>
          <w:sz w:val="32"/>
          <w:szCs w:val="32"/>
        </w:rPr>
        <w:t>个，所属事业单位7个，</w:t>
      </w:r>
      <w:r>
        <w:rPr>
          <w:rFonts w:hint="eastAsia" w:ascii="宋体" w:hAnsi="宋体" w:eastAsia="宋体" w:cs="宋体"/>
          <w:color w:val="000000"/>
          <w:sz w:val="32"/>
          <w:szCs w:val="32"/>
          <w:shd w:val="clear" w:color="auto" w:fill="FFFFFF"/>
        </w:rPr>
        <w:t>我局纳入部门预算编制</w:t>
      </w:r>
      <w:r>
        <w:rPr>
          <w:rFonts w:hint="eastAsia" w:ascii="宋体" w:hAnsi="宋体" w:eastAsia="宋体" w:cs="宋体"/>
          <w:color w:val="000000"/>
          <w:sz w:val="32"/>
          <w:szCs w:val="32"/>
          <w:shd w:val="clear" w:color="auto" w:fill="FFFFFF"/>
          <w:lang w:val="en-US" w:eastAsia="zh-CN"/>
        </w:rPr>
        <w:t>167</w:t>
      </w:r>
      <w:r>
        <w:rPr>
          <w:rFonts w:hint="eastAsia" w:ascii="宋体" w:hAnsi="宋体" w:eastAsia="宋体" w:cs="宋体"/>
          <w:color w:val="000000"/>
          <w:sz w:val="32"/>
          <w:szCs w:val="32"/>
          <w:shd w:val="clear" w:color="auto" w:fill="FFFFFF"/>
        </w:rPr>
        <w:t>人。其中：实有在职人员</w:t>
      </w:r>
      <w:r>
        <w:rPr>
          <w:rFonts w:hint="eastAsia" w:ascii="宋体" w:hAnsi="宋体" w:eastAsia="宋体" w:cs="宋体"/>
          <w:color w:val="000000"/>
          <w:sz w:val="32"/>
          <w:szCs w:val="32"/>
          <w:shd w:val="clear" w:color="auto" w:fill="FFFFFF"/>
          <w:lang w:val="en-US" w:eastAsia="zh-CN"/>
        </w:rPr>
        <w:t>102</w:t>
      </w:r>
      <w:r>
        <w:rPr>
          <w:rFonts w:hint="eastAsia" w:ascii="宋体" w:hAnsi="宋体" w:eastAsia="宋体" w:cs="宋体"/>
          <w:color w:val="000000"/>
          <w:sz w:val="32"/>
          <w:szCs w:val="32"/>
          <w:shd w:val="clear" w:color="auto" w:fill="FFFFFF"/>
        </w:rPr>
        <w:t>人，离退休人员</w:t>
      </w:r>
      <w:r>
        <w:rPr>
          <w:rFonts w:hint="eastAsia" w:ascii="宋体" w:hAnsi="宋体" w:eastAsia="宋体" w:cs="宋体"/>
          <w:color w:val="000000"/>
          <w:sz w:val="32"/>
          <w:szCs w:val="32"/>
          <w:shd w:val="clear" w:color="auto" w:fill="FFFFFF"/>
          <w:lang w:val="en-US" w:eastAsia="zh-CN"/>
        </w:rPr>
        <w:t>65</w:t>
      </w:r>
      <w:r>
        <w:rPr>
          <w:rFonts w:hint="eastAsia" w:ascii="宋体" w:hAnsi="宋体" w:eastAsia="宋体" w:cs="宋体"/>
          <w:color w:val="000000"/>
          <w:sz w:val="32"/>
          <w:szCs w:val="32"/>
          <w:shd w:val="clear" w:color="auto" w:fill="FFFFFF"/>
        </w:rPr>
        <w:t xml:space="preserve">人。遗属 </w:t>
      </w:r>
      <w:r>
        <w:rPr>
          <w:rFonts w:hint="eastAsia" w:ascii="宋体" w:hAnsi="宋体" w:eastAsia="宋体" w:cs="宋体"/>
          <w:color w:val="000000"/>
          <w:sz w:val="32"/>
          <w:szCs w:val="32"/>
          <w:shd w:val="clear" w:color="auto" w:fill="FFFFFF"/>
          <w:lang w:val="en-US" w:eastAsia="zh-CN"/>
        </w:rPr>
        <w:t>6</w:t>
      </w:r>
      <w:r>
        <w:rPr>
          <w:rFonts w:hint="eastAsia" w:ascii="宋体" w:hAnsi="宋体" w:eastAsia="宋体" w:cs="宋体"/>
          <w:color w:val="000000"/>
          <w:sz w:val="32"/>
          <w:szCs w:val="32"/>
          <w:shd w:val="clear" w:color="auto" w:fill="FFFFFF"/>
        </w:rPr>
        <w:t>人。</w:t>
      </w:r>
    </w:p>
    <w:p>
      <w:pPr>
        <w:widowControl/>
        <w:spacing w:line="600" w:lineRule="exact"/>
        <w:rPr>
          <w:rFonts w:ascii="黑体" w:hAnsi="黑体" w:eastAsia="黑体"/>
          <w:sz w:val="28"/>
          <w:szCs w:val="28"/>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沅江市民政局</w:t>
      </w:r>
      <w:r>
        <w:rPr>
          <w:rFonts w:asciiTheme="minorEastAsia" w:hAnsiTheme="minorEastAsia"/>
          <w:bCs/>
          <w:kern w:val="0"/>
          <w:sz w:val="32"/>
          <w:szCs w:val="32"/>
        </w:rPr>
        <w:t>20</w:t>
      </w:r>
      <w:r>
        <w:rPr>
          <w:rFonts w:hint="eastAsia" w:asciiTheme="minorEastAsia" w:hAnsiTheme="minorEastAsia"/>
          <w:bCs/>
          <w:kern w:val="0"/>
          <w:sz w:val="32"/>
          <w:szCs w:val="32"/>
        </w:rPr>
        <w:t>20年部门决算公开单位构成包括：</w:t>
      </w:r>
      <w:r>
        <w:rPr>
          <w:rFonts w:hint="eastAsia" w:asciiTheme="minorEastAsia" w:hAnsiTheme="minorEastAsia"/>
          <w:bCs/>
          <w:kern w:val="0"/>
          <w:sz w:val="32"/>
          <w:szCs w:val="32"/>
          <w:lang w:eastAsia="zh-CN"/>
        </w:rPr>
        <w:t>沅江市民政局</w:t>
      </w:r>
      <w:r>
        <w:rPr>
          <w:rFonts w:hint="eastAsia" w:asciiTheme="minorEastAsia" w:hAnsiTheme="minorEastAsia"/>
          <w:bCs/>
          <w:kern w:val="0"/>
          <w:sz w:val="32"/>
          <w:szCs w:val="32"/>
        </w:rPr>
        <w:t>本级以及沅江市殡仪馆</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沅江市婚姻登记服务中心</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沅江市福利彩票发行中心</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沅江市社会福利院</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沅江市社会福利中心</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沅江市流浪救助乞讨人员救助站</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沅江市烈士陵园服务中心</w:t>
      </w:r>
      <w:r>
        <w:rPr>
          <w:rFonts w:hint="eastAsia" w:asciiTheme="minorEastAsia" w:hAnsiTheme="minorEastAsia"/>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sz w:val="84"/>
          <w:szCs w:val="84"/>
        </w:rPr>
      </w:pPr>
      <w:r>
        <w:rPr>
          <w:rFonts w:hint="eastAsia"/>
          <w:sz w:val="84"/>
          <w:szCs w:val="84"/>
        </w:rPr>
        <w:t>第二部分</w:t>
      </w:r>
    </w:p>
    <w:p>
      <w:pPr>
        <w:pStyle w:val="9"/>
        <w:jc w:val="center"/>
        <w:rPr>
          <w:rFonts w:hint="eastAsia"/>
          <w:sz w:val="84"/>
          <w:szCs w:val="84"/>
        </w:rPr>
      </w:pPr>
    </w:p>
    <w:p>
      <w:pPr>
        <w:pStyle w:val="9"/>
        <w:jc w:val="center"/>
        <w:rPr>
          <w:sz w:val="72"/>
          <w:szCs w:val="72"/>
        </w:rPr>
      </w:pPr>
      <w:r>
        <w:rPr>
          <w:rFonts w:hint="eastAsia"/>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2381.22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4,846.00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155.12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322.40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7,900.75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5,176.25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1,336.53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3,990.30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9,237.28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9,237.28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400" w:type="dxa"/>
        <w:tblInd w:w="0" w:type="dxa"/>
        <w:tblLayout w:type="autofit"/>
        <w:tblCellMar>
          <w:top w:w="0" w:type="dxa"/>
          <w:left w:w="0" w:type="dxa"/>
          <w:bottom w:w="0" w:type="dxa"/>
          <w:right w:w="0" w:type="dxa"/>
        </w:tblCellMar>
      </w:tblPr>
      <w:tblGrid>
        <w:gridCol w:w="315"/>
        <w:gridCol w:w="315"/>
        <w:gridCol w:w="1199"/>
        <w:gridCol w:w="1923"/>
        <w:gridCol w:w="1923"/>
        <w:gridCol w:w="1760"/>
        <w:gridCol w:w="1760"/>
        <w:gridCol w:w="1596"/>
        <w:gridCol w:w="1596"/>
        <w:gridCol w:w="2535"/>
      </w:tblGrid>
      <w:tr>
        <w:tblPrEx>
          <w:tblCellMar>
            <w:top w:w="0" w:type="dxa"/>
            <w:left w:w="0" w:type="dxa"/>
            <w:bottom w:w="0" w:type="dxa"/>
            <w:right w:w="0" w:type="dxa"/>
          </w:tblCellMar>
        </w:tblPrEx>
        <w:trPr>
          <w:trHeight w:val="435" w:hRule="atLeast"/>
        </w:trPr>
        <w:tc>
          <w:tcPr>
            <w:tcW w:w="144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00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b w:val="0"/>
                <w:bCs w:val="0"/>
                <w:sz w:val="24"/>
                <w:szCs w:val="24"/>
              </w:rPr>
            </w:pPr>
            <w:r>
              <w:rPr>
                <w:rFonts w:hint="eastAsia"/>
                <w:b w:val="0"/>
                <w:bCs w:val="0"/>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7,900.75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7,227.22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155.12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322.40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196.00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44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5,176.25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1,573.87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3,602.38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23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2,381.22</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4,846.00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8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7,227.22</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4,544.27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2,474.74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2,069.54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705.89</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3,388.84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449.72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2,939.13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543.23</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162.66</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7,933.12</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7,933.12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2,924.45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5,008.66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2,474.74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1,351.46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1,123.27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876"/>
        <w:gridCol w:w="880"/>
        <w:gridCol w:w="2316"/>
        <w:gridCol w:w="876"/>
        <w:gridCol w:w="880"/>
        <w:gridCol w:w="4206"/>
        <w:gridCol w:w="87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933.08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41.65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37.15</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28.82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60.69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34.39</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55.76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54.75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49.49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986.09</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365.37</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62.21</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51.22</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48.66</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62.21</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51.22</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48.66</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162.66</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4,846.00</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2,069.54</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2,069.54</w:t>
            </w:r>
          </w:p>
        </w:tc>
        <w:tc>
          <w:tcPr>
            <w:tcW w:w="20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2,939.13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9237.28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3567.24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38.6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项目资金拨款增加。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7900.75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7227.22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91.48</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155.12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322.4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4.08</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2.48</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本年支出合计5176.25万元，其中：基本支出1573.87万元，占</w:t>
      </w:r>
      <w:r>
        <w:rPr>
          <w:rFonts w:hint="eastAsia" w:asciiTheme="minorEastAsia" w:hAnsiTheme="minorEastAsia" w:eastAsiaTheme="minorEastAsia"/>
          <w:sz w:val="32"/>
          <w:szCs w:val="32"/>
          <w:lang w:val="en-US" w:eastAsia="zh-CN"/>
        </w:rPr>
        <w:t>30.4</w:t>
      </w:r>
      <w:r>
        <w:rPr>
          <w:rFonts w:hint="eastAsia" w:asciiTheme="minorEastAsia" w:hAnsiTheme="minorEastAsia" w:eastAsiaTheme="minorEastAsia"/>
          <w:sz w:val="32"/>
          <w:szCs w:val="32"/>
        </w:rPr>
        <w:t>%；项目支出3602.38万元，占</w:t>
      </w:r>
      <w:r>
        <w:rPr>
          <w:rFonts w:hint="eastAsia" w:asciiTheme="minorEastAsia" w:hAnsiTheme="minorEastAsia" w:eastAsiaTheme="minorEastAsia"/>
          <w:sz w:val="32"/>
          <w:szCs w:val="32"/>
          <w:lang w:val="en-US" w:eastAsia="zh-CN"/>
        </w:rPr>
        <w:t>69.59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7933.12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4014.92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50.6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2020年度财政拨款支出2474.74万元，占本年支出合计的</w:t>
      </w:r>
      <w:r>
        <w:rPr>
          <w:rFonts w:hint="eastAsia" w:asciiTheme="minorEastAsia" w:hAnsiTheme="minorEastAsia" w:eastAsiaTheme="minorEastAsia"/>
          <w:sz w:val="32"/>
          <w:szCs w:val="32"/>
          <w:lang w:val="en-US" w:eastAsia="zh-CN"/>
        </w:rPr>
        <w:t>54.45</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494.26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16.64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拨款减少。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2474.74</w:t>
      </w:r>
      <w:r>
        <w:rPr>
          <w:rFonts w:hint="eastAsia" w:asciiTheme="minorEastAsia" w:hAnsiTheme="minorEastAsia" w:eastAsiaTheme="minorEastAsia"/>
          <w:sz w:val="32"/>
          <w:szCs w:val="32"/>
        </w:rPr>
        <w:t>万元，主要用于以下方面：一般公共服务（类）支出0.2万元，占</w:t>
      </w:r>
      <w:r>
        <w:rPr>
          <w:rFonts w:hint="eastAsia" w:asciiTheme="minorEastAsia" w:hAnsiTheme="minorEastAsia" w:eastAsiaTheme="minorEastAsia"/>
          <w:sz w:val="32"/>
          <w:szCs w:val="32"/>
          <w:lang w:val="en-US" w:eastAsia="zh-CN"/>
        </w:rPr>
        <w:t>0.008</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%;社会保障和就业支出（类）支出2373.39万元，占</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 xml:space="preserve">  其他扶贫支出（类）支出25.6万元，占</w:t>
      </w:r>
      <w:r>
        <w:rPr>
          <w:rFonts w:hint="eastAsia" w:asciiTheme="minorEastAsia" w:hAnsiTheme="minorEastAsia" w:eastAsiaTheme="minorEastAsia"/>
          <w:sz w:val="32"/>
          <w:szCs w:val="32"/>
          <w:lang w:val="en-US" w:eastAsia="zh-CN"/>
        </w:rPr>
        <w:t>1.03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住房保障支出（类）支出75.55万元，占</w:t>
      </w:r>
      <w:r>
        <w:rPr>
          <w:rFonts w:hint="eastAsia" w:asciiTheme="minorEastAsia" w:hAnsiTheme="minorEastAsia" w:eastAsiaTheme="minorEastAsia"/>
          <w:sz w:val="32"/>
          <w:szCs w:val="32"/>
          <w:lang w:val="en-US" w:eastAsia="zh-CN"/>
        </w:rPr>
        <w:t>3.06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1269.45</w:t>
      </w:r>
      <w:r>
        <w:rPr>
          <w:rFonts w:hint="eastAsia" w:asciiTheme="minorEastAsia" w:hAnsiTheme="minorEastAsia" w:eastAsiaTheme="minorEastAsia"/>
          <w:sz w:val="32"/>
          <w:szCs w:val="32"/>
        </w:rPr>
        <w:t>万元，支出决算数为2474.74万元，完成年初预算的</w:t>
      </w:r>
      <w:r>
        <w:rPr>
          <w:rFonts w:hint="eastAsia" w:asciiTheme="minorEastAsia" w:hAnsiTheme="minorEastAsia" w:eastAsiaTheme="minorEastAsia"/>
          <w:sz w:val="32"/>
          <w:szCs w:val="32"/>
          <w:lang w:val="en-US" w:eastAsia="zh-CN"/>
        </w:rPr>
        <w:t>194.94</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1、一般公共服务（类）组织事务（款）其他组织事务支出（项）。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项目资金增加。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2、一般公共服务（类）社会保障和就业支出（款）民政管理事务（项）。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仿宋" w:hAnsi="仿宋" w:eastAsia="仿宋" w:cs="宋体"/>
          <w:color w:val="000000"/>
          <w:kern w:val="0"/>
          <w:sz w:val="32"/>
          <w:szCs w:val="32"/>
        </w:rPr>
        <w:t>388.22</w:t>
      </w:r>
      <w:r>
        <w:rPr>
          <w:rFonts w:hint="eastAsia" w:asciiTheme="minorEastAsia" w:hAnsiTheme="minorEastAsia" w:eastAsiaTheme="minorEastAsia"/>
          <w:sz w:val="32"/>
          <w:szCs w:val="32"/>
        </w:rPr>
        <w:t>万元，支出决算为2373.39万元，完成年初预算的</w:t>
      </w:r>
      <w:r>
        <w:rPr>
          <w:rFonts w:hint="eastAsia" w:asciiTheme="minorEastAsia" w:hAnsiTheme="minorEastAsia" w:eastAsiaTheme="minorEastAsia"/>
          <w:sz w:val="32"/>
          <w:szCs w:val="32"/>
          <w:lang w:val="en-US" w:eastAsia="zh-CN"/>
        </w:rPr>
        <w:t>611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项目资金增加。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、一般公共服务（类）农林水支出（款）其他扶贫支出（项）。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仿宋" w:hAnsi="仿宋" w:eastAsia="仿宋" w:cs="宋体"/>
          <w:color w:val="000000"/>
          <w:kern w:val="0"/>
          <w:sz w:val="32"/>
          <w:szCs w:val="32"/>
          <w:lang w:val="en-US" w:eastAsia="zh-CN"/>
        </w:rPr>
        <w:t>0</w:t>
      </w:r>
      <w:r>
        <w:rPr>
          <w:rFonts w:hint="eastAsia" w:asciiTheme="minorEastAsia" w:hAnsiTheme="minorEastAsia" w:eastAsiaTheme="minorEastAsia"/>
          <w:sz w:val="32"/>
          <w:szCs w:val="32"/>
        </w:rPr>
        <w:t>万元，支出决算为25.6万元，完成年初预算的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项目资金增加。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、一般公共服务（类）住房保障支出（款）住房公积金（项）。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仿宋" w:hAnsi="仿宋" w:eastAsia="仿宋" w:cs="宋体"/>
          <w:color w:val="000000"/>
          <w:kern w:val="0"/>
          <w:sz w:val="32"/>
          <w:szCs w:val="32"/>
        </w:rPr>
        <w:t>33.649</w:t>
      </w:r>
      <w:r>
        <w:rPr>
          <w:rFonts w:hint="eastAsia" w:asciiTheme="minorEastAsia" w:hAnsiTheme="minorEastAsia" w:eastAsiaTheme="minorEastAsia"/>
          <w:sz w:val="32"/>
          <w:szCs w:val="32"/>
        </w:rPr>
        <w:t>万元，支出决算为75.55万元，完成年初预算的</w:t>
      </w:r>
      <w:r>
        <w:rPr>
          <w:rFonts w:hint="eastAsia" w:asciiTheme="minorEastAsia" w:hAnsiTheme="minorEastAsia" w:eastAsiaTheme="minorEastAsia"/>
          <w:sz w:val="32"/>
          <w:szCs w:val="32"/>
          <w:lang w:val="en-US" w:eastAsia="zh-CN"/>
        </w:rPr>
        <w:t>224.85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项目资金增加。</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2020年度财政拨款基本支出1351.46万元，其中：人员经费986.09万元，占基本支出的</w:t>
      </w:r>
      <w:r>
        <w:rPr>
          <w:rFonts w:hint="eastAsia" w:asciiTheme="minorEastAsia" w:hAnsiTheme="minorEastAsia" w:eastAsiaTheme="minorEastAsia"/>
          <w:sz w:val="32"/>
          <w:szCs w:val="32"/>
          <w:lang w:val="en-US" w:eastAsia="zh-CN"/>
        </w:rPr>
        <w:t>72.96</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；公用经费365.37万元，占基本支出的</w:t>
      </w:r>
      <w:r>
        <w:rPr>
          <w:rFonts w:hint="eastAsia" w:asciiTheme="minorEastAsia" w:hAnsiTheme="minorEastAsia" w:eastAsiaTheme="minorEastAsia"/>
          <w:sz w:val="32"/>
          <w:szCs w:val="32"/>
          <w:lang w:val="en-US" w:eastAsia="zh-CN"/>
        </w:rPr>
        <w:t>27.03</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62.21</w:t>
      </w:r>
      <w:r>
        <w:rPr>
          <w:rFonts w:hint="eastAsia" w:asciiTheme="minorEastAsia" w:hAnsiTheme="minorEastAsia" w:eastAsiaTheme="minorEastAsia"/>
          <w:sz w:val="32"/>
          <w:szCs w:val="32"/>
        </w:rPr>
        <w:t>万元，支出决算为62.21万元，完成预算的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10.99</w:t>
      </w:r>
      <w:r>
        <w:rPr>
          <w:rFonts w:hint="eastAsia" w:asciiTheme="minorEastAsia" w:hAnsiTheme="minorEastAsia" w:eastAsiaTheme="minorEastAsia"/>
          <w:sz w:val="32"/>
          <w:szCs w:val="32"/>
        </w:rPr>
        <w:t>万元，支出决算为10.99万元，完成预算的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1.64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14.92</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51.22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51.22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50.04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97.69</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殡仪馆遗体接运车增加了开支</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10.99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17.66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51.22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82.33</w:t>
      </w:r>
      <w:r>
        <w:rPr>
          <w:rFonts w:hint="eastAsia" w:asciiTheme="minorEastAsia" w:hAnsiTheme="minorEastAsia" w:eastAsiaTheme="minorEastAsia"/>
          <w:sz w:val="32"/>
          <w:szCs w:val="32"/>
        </w:rPr>
        <w:t>%。其中：</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10.99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800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殡葬改革考察学习交流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51.22</w:t>
      </w:r>
      <w:r>
        <w:rPr>
          <w:rFonts w:hint="eastAsia" w:asciiTheme="minorEastAsia" w:hAnsiTheme="minorEastAsia"/>
          <w:sz w:val="32"/>
          <w:szCs w:val="32"/>
        </w:rPr>
        <w:t>万元，其中：公务用车购置费48.66万元，</w:t>
      </w:r>
      <w:r>
        <w:rPr>
          <w:rFonts w:hint="eastAsia" w:asciiTheme="minorEastAsia" w:hAnsiTheme="minorEastAsia"/>
          <w:sz w:val="32"/>
          <w:szCs w:val="32"/>
          <w:lang w:eastAsia="zh-CN"/>
        </w:rPr>
        <w:t>二级机构沅江市殡仪馆</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4</w:t>
      </w:r>
      <w:r>
        <w:rPr>
          <w:rFonts w:hint="eastAsia" w:asciiTheme="minorEastAsia" w:hAnsiTheme="minorEastAsia"/>
          <w:sz w:val="32"/>
          <w:szCs w:val="32"/>
        </w:rPr>
        <w:t>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公务用车运行维护费2.56万元，主要是</w:t>
      </w:r>
      <w:r>
        <w:rPr>
          <w:rFonts w:hint="eastAsia" w:asciiTheme="minorEastAsia" w:hAnsiTheme="minorEastAsia"/>
          <w:sz w:val="32"/>
          <w:szCs w:val="32"/>
          <w:lang w:eastAsia="zh-CN"/>
        </w:rPr>
        <w:t>保险费和检测费</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4</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2020年度政府性基金预算财政拨款收入4846万元；年初结转和结余162.66万元；支出2069.54万元，其中基本支出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万元，项目支出2069.54万元；年末结转和结余2939.13万元。</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本部门2020年度机关运行经费支出365.37万元，比上年决算数增加</w:t>
      </w:r>
      <w:r>
        <w:rPr>
          <w:rFonts w:hint="eastAsia" w:asciiTheme="minorEastAsia" w:hAnsiTheme="minorEastAsia" w:eastAsiaTheme="minorEastAsia"/>
          <w:sz w:val="32"/>
          <w:szCs w:val="32"/>
          <w:lang w:val="en-US" w:eastAsia="zh-CN"/>
        </w:rPr>
        <w:t>103.05</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28.2</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：人员增加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2020年本部门开支会议费0.33万元，用于召开</w:t>
      </w:r>
      <w:r>
        <w:rPr>
          <w:rFonts w:hint="eastAsia" w:asciiTheme="minorEastAsia" w:hAnsiTheme="minorEastAsia" w:eastAsiaTheme="minorEastAsia"/>
          <w:sz w:val="32"/>
          <w:szCs w:val="32"/>
          <w:lang w:eastAsia="zh-CN"/>
        </w:rPr>
        <w:t>人员培训</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700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社工站和养老股人员培训会议</w:t>
      </w:r>
      <w:r>
        <w:rPr>
          <w:rFonts w:hint="eastAsia" w:asciiTheme="minorEastAsia" w:hAnsiTheme="minorEastAsia" w:eastAsiaTheme="minorEastAsia"/>
          <w:sz w:val="32"/>
          <w:szCs w:val="32"/>
        </w:rPr>
        <w:t>；开支培训费1.32万元，用于开展</w:t>
      </w:r>
      <w:r>
        <w:rPr>
          <w:rFonts w:hint="eastAsia" w:asciiTheme="minorEastAsia" w:hAnsiTheme="minorEastAsia" w:eastAsiaTheme="minorEastAsia"/>
          <w:sz w:val="32"/>
          <w:szCs w:val="32"/>
          <w:lang w:eastAsia="zh-CN"/>
        </w:rPr>
        <w:t>养老股人员</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900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人员系统培训</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eastAsia="zh-CN"/>
        </w:rPr>
        <w:t>活动</w:t>
      </w:r>
      <w:r>
        <w:rPr>
          <w:rFonts w:hint="eastAsia" w:asciiTheme="minorEastAsia" w:hAnsiTheme="minorEastAsia" w:eastAsiaTheme="minorEastAsia"/>
          <w:sz w:val="32"/>
          <w:szCs w:val="32"/>
        </w:rPr>
        <w:t>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2300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2300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遗体接运车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台（套）。</w:t>
      </w:r>
    </w:p>
    <w:p>
      <w:pPr>
        <w:pStyle w:val="9"/>
        <w:numPr>
          <w:ilvl w:val="0"/>
          <w:numId w:val="2"/>
        </w:numPr>
        <w:rPr>
          <w:rFonts w:hint="eastAsia" w:hAnsi="黑体"/>
          <w:b/>
          <w:sz w:val="32"/>
          <w:szCs w:val="32"/>
        </w:rPr>
      </w:pPr>
      <w:r>
        <w:rPr>
          <w:rFonts w:hint="eastAsia" w:hAnsi="黑体"/>
          <w:b/>
          <w:sz w:val="32"/>
          <w:szCs w:val="32"/>
        </w:rPr>
        <w:t>关于2020年度预算绩效情况的说明</w:t>
      </w:r>
    </w:p>
    <w:p>
      <w:pPr>
        <w:widowControl/>
        <w:shd w:val="clear" w:color="auto" w:fill="FFFFFF"/>
        <w:spacing w:line="600" w:lineRule="atLeast"/>
        <w:ind w:firstLine="640"/>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1、部门整体支出管理情况</w:t>
      </w:r>
    </w:p>
    <w:p>
      <w:pPr>
        <w:widowControl/>
        <w:shd w:val="clear" w:color="auto" w:fill="FFFFFF"/>
        <w:spacing w:line="600" w:lineRule="atLeast"/>
        <w:ind w:firstLine="640"/>
        <w:jc w:val="left"/>
        <w:rPr>
          <w:rFonts w:hint="eastAsia" w:ascii="宋体" w:hAnsi="宋体" w:cs="宋体"/>
          <w:color w:val="333333"/>
          <w:kern w:val="0"/>
          <w:szCs w:val="21"/>
        </w:rPr>
      </w:pPr>
      <w:r>
        <w:rPr>
          <w:rFonts w:hint="eastAsia" w:cs="黑体" w:asciiTheme="minorEastAsia" w:hAnsiTheme="minorEastAsia" w:eastAsiaTheme="minorEastAsia"/>
          <w:color w:val="000000"/>
          <w:kern w:val="0"/>
          <w:sz w:val="32"/>
          <w:szCs w:val="32"/>
          <w:lang w:val="en-US" w:eastAsia="zh-CN" w:bidi="ar-SA"/>
        </w:rPr>
        <w:t>总的来说，我局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0"/>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2、部门整体支出绩效目标情况</w:t>
      </w:r>
    </w:p>
    <w:p>
      <w:pPr>
        <w:widowControl/>
        <w:shd w:val="clear" w:color="auto" w:fill="FFFFFF"/>
        <w:spacing w:line="600" w:lineRule="atLeast"/>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根据市财政局要求，我局以绩效评估为契机，认真对照评估指标，按照年度工作计划扎实推进2020年度财政支出绩效自评工作。总的来说，2020年我局全体干部职工积极履职、扎实工作，较好完成了全年工作目标。切实保证民政专项资金管理机制的顺利实施，《沅江市民政局内部控制基本制度》确保资金运行的规范性，早在2014年我市就在各乡镇建立了民政专项资金管理财政专户，并成立了财政集中管理的民政专账，专门负责民政专项资金管理经费的支出审核与监管，在使用权、自主权、会计主体法律责任不变的前提下，实行财政集中管理制度，基层民政单位全部实行报账制管理，确保专款专用，杜绝不合理的开支。</w:t>
      </w:r>
    </w:p>
    <w:p>
      <w:pPr>
        <w:widowControl/>
        <w:shd w:val="clear" w:color="auto" w:fill="FFFFFF"/>
        <w:spacing w:line="600" w:lineRule="atLeast"/>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（二）严格按照《沅江市公共服务项目资金管理办法》的要求对民政对象补助资金做到专款专用，专项资金中直接补助到人的资金原则实行社会化发放，并建立了民政对象动态管理机制。 </w:t>
      </w:r>
    </w:p>
    <w:p>
      <w:pPr>
        <w:widowControl/>
        <w:shd w:val="clear" w:color="auto" w:fill="FFFFFF"/>
        <w:spacing w:line="600" w:lineRule="atLeast"/>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    （三）会计核算及账务处理。严格按照《沅江市民政局财务管理制度》民政专项资金管理全部实现了会计电算化，所有民政专项资金支出票据合法有效，账务处理规范，无违规行为发生。</w:t>
      </w:r>
    </w:p>
    <w:p>
      <w:pPr>
        <w:widowControl/>
        <w:shd w:val="clear" w:color="auto" w:fill="FFFFFF"/>
        <w:spacing w:line="600" w:lineRule="atLeast"/>
        <w:ind w:firstLine="640"/>
        <w:jc w:val="left"/>
        <w:rPr>
          <w:rFonts w:hint="eastAsia" w:ascii="宋体" w:hAnsi="宋体" w:cs="宋体"/>
          <w:color w:val="333333"/>
          <w:kern w:val="0"/>
          <w:szCs w:val="21"/>
        </w:rPr>
      </w:pPr>
    </w:p>
    <w:p>
      <w:pPr>
        <w:widowControl/>
        <w:shd w:val="clear" w:color="auto" w:fill="FFFFFF"/>
        <w:spacing w:line="600" w:lineRule="atLeast"/>
        <w:ind w:firstLine="640"/>
        <w:jc w:val="left"/>
        <w:rPr>
          <w:rFonts w:hint="eastAsia" w:ascii="宋体" w:hAnsi="宋体" w:cs="宋体"/>
          <w:color w:val="333333"/>
          <w:kern w:val="0"/>
          <w:szCs w:val="21"/>
        </w:rPr>
      </w:pPr>
      <w:r>
        <w:rPr>
          <w:rFonts w:hint="eastAsia" w:ascii="黑体" w:hAnsi="黑体" w:eastAsia="黑体" w:cs="黑体"/>
          <w:b/>
          <w:color w:val="000000"/>
          <w:kern w:val="0"/>
          <w:sz w:val="32"/>
          <w:szCs w:val="32"/>
          <w:lang w:val="en-US" w:eastAsia="zh-CN" w:bidi="ar-SA"/>
        </w:rPr>
        <w:t>3、部门整体支出绩效评价指标分析</w:t>
      </w:r>
    </w:p>
    <w:p>
      <w:pPr>
        <w:pStyle w:val="9"/>
        <w:ind w:firstLine="640" w:firstLineChars="200"/>
        <w:rPr>
          <w:sz w:val="72"/>
          <w:szCs w:val="72"/>
        </w:rPr>
      </w:pPr>
      <w:r>
        <w:rPr>
          <w:rFonts w:hint="eastAsia" w:cs="黑体" w:asciiTheme="minorEastAsia" w:hAnsiTheme="minorEastAsia" w:eastAsiaTheme="minorEastAsia"/>
          <w:color w:val="000000"/>
          <w:kern w:val="0"/>
          <w:sz w:val="32"/>
          <w:szCs w:val="32"/>
          <w:lang w:val="en-US" w:eastAsia="zh-CN" w:bidi="ar-SA"/>
        </w:rPr>
        <w:t>通过认真对照《2020年沅江市部门整体支出绩效评价指标表》开展自评，我局在“投入”、“过程”、“产出”、“效果”等方面都执行较好，自评得分100分。</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both"/>
        <w:rPr>
          <w:rFonts w:hint="eastAsia" w:cs="黑体" w:asciiTheme="minorEastAsia" w:hAnsiTheme="minorEastAsia"/>
          <w:b/>
          <w:color w:val="000000"/>
          <w:kern w:val="0"/>
          <w:sz w:val="32"/>
          <w:szCs w:val="32"/>
          <w:lang w:eastAsia="zh-CN"/>
        </w:rPr>
      </w:pPr>
      <w:r>
        <w:rPr>
          <w:rFonts w:hint="eastAsia" w:cs="黑体" w:asciiTheme="minorEastAsia" w:hAnsiTheme="minorEastAsia"/>
          <w:b/>
          <w:color w:val="000000"/>
          <w:kern w:val="0"/>
          <w:sz w:val="32"/>
          <w:szCs w:val="32"/>
          <w:lang w:eastAsia="zh-CN"/>
        </w:rPr>
        <w:t>附件：</w:t>
      </w:r>
    </w:p>
    <w:p>
      <w:pPr>
        <w:ind w:firstLine="640" w:firstLineChars="200"/>
        <w:jc w:val="both"/>
        <w:rPr>
          <w:rFonts w:hint="default" w:cs="黑体" w:asciiTheme="minorEastAsia" w:hAnsi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20</w:t>
      </w:r>
      <w:r>
        <w:rPr>
          <w:rFonts w:hint="eastAsia" w:cs="黑体" w:asciiTheme="minorEastAsia" w:hAnsiTheme="minorEastAsia"/>
          <w:b/>
          <w:color w:val="000000"/>
          <w:kern w:val="0"/>
          <w:sz w:val="32"/>
          <w:szCs w:val="32"/>
          <w:lang w:val="en-US" w:eastAsia="zh-CN"/>
        </w:rPr>
        <w:t>20</w:t>
      </w:r>
      <w:r>
        <w:rPr>
          <w:rFonts w:hint="eastAsia" w:cs="黑体" w:asciiTheme="minorEastAsia" w:hAnsiTheme="minorEastAsia"/>
          <w:b/>
          <w:color w:val="000000"/>
          <w:kern w:val="0"/>
          <w:sz w:val="32"/>
          <w:szCs w:val="32"/>
        </w:rPr>
        <w:t>年沅江市民政局部门</w:t>
      </w:r>
      <w:r>
        <w:rPr>
          <w:rFonts w:hint="eastAsia" w:cs="黑体" w:asciiTheme="minorEastAsia" w:hAnsiTheme="minorEastAsia"/>
          <w:b/>
          <w:color w:val="000000"/>
          <w:kern w:val="0"/>
          <w:sz w:val="32"/>
          <w:szCs w:val="32"/>
          <w:lang w:eastAsia="zh-CN"/>
        </w:rPr>
        <w:t>汇总</w:t>
      </w:r>
      <w:r>
        <w:rPr>
          <w:rFonts w:hint="eastAsia" w:cs="黑体" w:asciiTheme="minorEastAsia" w:hAnsiTheme="minorEastAsia"/>
          <w:b/>
          <w:color w:val="000000"/>
          <w:kern w:val="0"/>
          <w:sz w:val="32"/>
          <w:szCs w:val="32"/>
        </w:rPr>
        <w:t>决算公开表</w:t>
      </w:r>
      <w:bookmarkStart w:id="3" w:name="_GoBack"/>
      <w:bookmarkEnd w:id="3"/>
    </w:p>
    <w:p>
      <w:pPr>
        <w:ind w:firstLine="640" w:firstLineChars="200"/>
        <w:jc w:val="both"/>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2020年度部门整体支出绩效评价</w:t>
      </w:r>
      <w:r>
        <w:rPr>
          <w:rFonts w:hint="eastAsia" w:cs="黑体" w:asciiTheme="minorEastAsia" w:hAnsiTheme="minorEastAsia"/>
          <w:b/>
          <w:color w:val="000000"/>
          <w:kern w:val="0"/>
          <w:sz w:val="32"/>
          <w:szCs w:val="32"/>
          <w:lang w:eastAsia="zh-CN"/>
        </w:rPr>
        <w:t>汇总</w:t>
      </w:r>
      <w:r>
        <w:rPr>
          <w:rFonts w:hint="eastAsia" w:cs="黑体" w:asciiTheme="minorEastAsia" w:hAnsiTheme="minorEastAsia"/>
          <w:b/>
          <w:color w:val="000000"/>
          <w:kern w:val="0"/>
          <w:sz w:val="32"/>
          <w:szCs w:val="32"/>
        </w:rPr>
        <w:t>报告</w:t>
      </w: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3193E"/>
    <w:multiLevelType w:val="singleLevel"/>
    <w:tmpl w:val="B883193E"/>
    <w:lvl w:ilvl="0" w:tentative="0">
      <w:start w:val="1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61B6466"/>
    <w:rsid w:val="0D3B1A7B"/>
    <w:rsid w:val="0DB1235D"/>
    <w:rsid w:val="0E07781F"/>
    <w:rsid w:val="0F351771"/>
    <w:rsid w:val="0F6457DE"/>
    <w:rsid w:val="13A476C3"/>
    <w:rsid w:val="1450333B"/>
    <w:rsid w:val="1BA111A9"/>
    <w:rsid w:val="1FC261E8"/>
    <w:rsid w:val="209908D3"/>
    <w:rsid w:val="20A741BB"/>
    <w:rsid w:val="20FC6728"/>
    <w:rsid w:val="22C449C4"/>
    <w:rsid w:val="247E3FCC"/>
    <w:rsid w:val="27281B81"/>
    <w:rsid w:val="27B959A6"/>
    <w:rsid w:val="2B742BBD"/>
    <w:rsid w:val="2CF263AF"/>
    <w:rsid w:val="2E5542EA"/>
    <w:rsid w:val="32575FA0"/>
    <w:rsid w:val="3A022134"/>
    <w:rsid w:val="3CC3099F"/>
    <w:rsid w:val="40DF2474"/>
    <w:rsid w:val="43101BE4"/>
    <w:rsid w:val="447910D7"/>
    <w:rsid w:val="45474620"/>
    <w:rsid w:val="45DC4D1A"/>
    <w:rsid w:val="48617FB9"/>
    <w:rsid w:val="487D5ED3"/>
    <w:rsid w:val="4A241EF6"/>
    <w:rsid w:val="4C4C6D95"/>
    <w:rsid w:val="4CFF1B77"/>
    <w:rsid w:val="4D733D13"/>
    <w:rsid w:val="4DA153EF"/>
    <w:rsid w:val="51B23310"/>
    <w:rsid w:val="52790C74"/>
    <w:rsid w:val="52E20E4F"/>
    <w:rsid w:val="550A459B"/>
    <w:rsid w:val="55527913"/>
    <w:rsid w:val="55D136BC"/>
    <w:rsid w:val="56FB41F9"/>
    <w:rsid w:val="5C715EC1"/>
    <w:rsid w:val="5ED339BA"/>
    <w:rsid w:val="60D629D1"/>
    <w:rsid w:val="61951FDE"/>
    <w:rsid w:val="64644111"/>
    <w:rsid w:val="64A57EAF"/>
    <w:rsid w:val="67433A13"/>
    <w:rsid w:val="6C8D5F4F"/>
    <w:rsid w:val="6F8A5446"/>
    <w:rsid w:val="72172BCE"/>
    <w:rsid w:val="721E4AF4"/>
    <w:rsid w:val="737A3EBB"/>
    <w:rsid w:val="75D4097E"/>
    <w:rsid w:val="75F44AD2"/>
    <w:rsid w:val="76245764"/>
    <w:rsid w:val="7A13117F"/>
    <w:rsid w:val="7AC56B3C"/>
    <w:rsid w:val="7AFA1F76"/>
    <w:rsid w:val="7B307D13"/>
    <w:rsid w:val="7C790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1212</Words>
  <Characters>6911</Characters>
  <Lines>57</Lines>
  <Paragraphs>16</Paragraphs>
  <TotalTime>1</TotalTime>
  <ScaleCrop>false</ScaleCrop>
  <LinksUpToDate>false</LinksUpToDate>
  <CharactersWithSpaces>8107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Anna</cp:lastModifiedBy>
  <cp:lastPrinted>2021-07-28T00:12:00Z</cp:lastPrinted>
  <dcterms:modified xsi:type="dcterms:W3CDTF">2021-08-26T08:24:57Z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DE8E5440B49B446F96A2148596ED7680</vt:lpwstr>
  </property>
</Properties>
</file>