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54" w:rsidRPr="003435A1" w:rsidRDefault="00325354" w:rsidP="003435A1">
      <w:pPr>
        <w:widowControl/>
        <w:spacing w:line="520" w:lineRule="exact"/>
        <w:ind w:firstLine="480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3435A1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沅江市路灯灯饰服务中心</w:t>
      </w:r>
    </w:p>
    <w:p w:rsidR="00325354" w:rsidRPr="003435A1" w:rsidRDefault="00325354" w:rsidP="003435A1">
      <w:pPr>
        <w:widowControl/>
        <w:spacing w:line="520" w:lineRule="exact"/>
        <w:ind w:firstLine="480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3435A1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2020年度部门整体支出绩效自评报告</w:t>
      </w:r>
    </w:p>
    <w:p w:rsidR="00325354" w:rsidRPr="003435A1" w:rsidRDefault="00325354" w:rsidP="003435A1">
      <w:pPr>
        <w:widowControl/>
        <w:spacing w:line="520" w:lineRule="exact"/>
        <w:ind w:firstLine="48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宋体" w:eastAsia="仿宋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325354" w:rsidRPr="003435A1" w:rsidRDefault="00325354" w:rsidP="003435A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为进一步规范财政资金管理，牢固树立预算绩效理念，强化部门支出责任，提高财政资金使用效益，根据《湖南省预算绩效管理工作规范的通知》，结合上级工作安排等文件精神，现将绩效自评情况报告如下：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一、部门基本情况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（一）职能、机构设置及人员情况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/>
          <w:color w:val="000000" w:themeColor="text1"/>
          <w:sz w:val="32"/>
          <w:szCs w:val="32"/>
        </w:rPr>
      </w:pP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沅江市路灯灯饰</w:t>
      </w:r>
      <w:r w:rsidR="00CE7AE0">
        <w:rPr>
          <w:rFonts w:ascii="仿宋" w:eastAsia="仿宋" w:hAnsi="仿宋" w:hint="eastAsia"/>
          <w:color w:val="000000" w:themeColor="text1"/>
          <w:sz w:val="32"/>
          <w:szCs w:val="32"/>
        </w:rPr>
        <w:t>服务中心</w:t>
      </w: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系城市管理行政执法局下属全额拨款性质的二级机构事业单位。现有干职工</w:t>
      </w:r>
      <w:r w:rsidR="00F27DE3"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人（其中，退休3人，在职18人），内设办公室、业务股、巡查室、三个股室。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（二）工作职责</w:t>
      </w:r>
    </w:p>
    <w:p w:rsidR="00325354" w:rsidRPr="003435A1" w:rsidRDefault="0062150A" w:rsidP="003435A1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为公益性全额拨款事业单位，主要负责城区路灯灯饰的维修、维护与管理。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二、部门整体支出管理及使用情况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（一）基本支出的管理和使用情况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1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基本支出的主要用途范围及资金的管理情况</w:t>
      </w:r>
    </w:p>
    <w:p w:rsidR="00325354" w:rsidRPr="003435A1" w:rsidRDefault="00F27DE3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年度基本支出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257.0529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万元。其中: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工资福利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支出 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20.1891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万元，主要用于基本工资、津贴补贴、奖金、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伙食补助、绩效工资、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社会保障缴费、离休费、退休费、抚恤金、住房公积金等支出；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商品和服务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支出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49.6585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万元，主要用于办公费、印刷费、水电费、差旅费、会议费、培训费、公务接待费、工会经费等支出。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对个人和家庭的补助支出0.752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lastRenderedPageBreak/>
        <w:t>万元，主要用于生活补助和奖励金；资本性支出6.4533万元，主要用于办公设备购置。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2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年初总预算收支情况</w:t>
      </w:r>
    </w:p>
    <w:p w:rsidR="00325354" w:rsidRPr="003435A1" w:rsidRDefault="00E70555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年度部门预算数为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709.456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万元，其中:基本支出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163.456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万元，项目支出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546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万元（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路灯电费287万，工程车运行维护费16万，电子卡口电费50万，红绿灯电费30万，路灯维修维护73万，文化旅游节景观维护费90万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）。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3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本年财政拨款预算追加及年度可用财政拨款预算指标情况</w:t>
      </w:r>
    </w:p>
    <w:p w:rsidR="00701954" w:rsidRPr="003435A1" w:rsidRDefault="00703435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年度实际收到的一般预算财政拨款收入为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475.456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政府性基金收入为234万元；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与年初预算安排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数相符。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4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年度预算收入决算情况</w:t>
      </w:r>
    </w:p>
    <w:p w:rsidR="00325354" w:rsidRPr="003435A1" w:rsidRDefault="007019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年度收入合计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924.354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万元，其中：财政拨款收入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475.456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政府性基金收入234万元，事业收入214.890万元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。 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5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年度预算支出决算及结余情况</w:t>
      </w:r>
    </w:p>
    <w:p w:rsidR="00325354" w:rsidRPr="003435A1" w:rsidRDefault="003435A1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年度一般预算财政拨款收入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475.456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政府性基金收入234万元，上级补助收入214.890万元。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支出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992.873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上年结余68.5894万元，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本年结余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0.0703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6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“三公经费”情况</w:t>
      </w:r>
    </w:p>
    <w:p w:rsidR="00325354" w:rsidRPr="003435A1" w:rsidRDefault="001B6BB9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年度三公经费预算支出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16.5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万元。其中，公务接待预算支出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0.5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公务用车购置及运行维护费16万元。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决算支出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万元（公务接待费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万元），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公务用车运行维护费14.7448万元。</w:t>
      </w:r>
      <w:r w:rsidR="00634D2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与上年0.065同批增加0.029万元。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lastRenderedPageBreak/>
        <w:t>（二）专项支出的管理和使用情况</w:t>
      </w:r>
    </w:p>
    <w:p w:rsidR="00325354" w:rsidRPr="003435A1" w:rsidRDefault="003435A1" w:rsidP="003435A1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1、</w:t>
      </w:r>
      <w:r w:rsidR="00325354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专项资金安排落实、总投入等情况分析</w:t>
      </w:r>
    </w:p>
    <w:p w:rsidR="00637CFE" w:rsidRPr="003435A1" w:rsidRDefault="0062150A" w:rsidP="0062150A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="00634D2E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年初预算专项资金</w:t>
      </w:r>
      <w:r w:rsidR="00637CFE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546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元，其中</w:t>
      </w:r>
      <w:r w:rsidR="00637CFE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637CFE" w:rsidRPr="003435A1" w:rsidRDefault="00637CFE" w:rsidP="003435A1">
      <w:pPr>
        <w:pStyle w:val="a3"/>
        <w:numPr>
          <w:ilvl w:val="0"/>
          <w:numId w:val="1"/>
        </w:numPr>
        <w:spacing w:line="520" w:lineRule="exact"/>
        <w:ind w:firstLineChars="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路灯电费287万（一般公共预算拨款170万元、政府性基金拨款117万元）</w:t>
      </w:r>
    </w:p>
    <w:p w:rsidR="00637CFE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b)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、工程车运行维护费一般公共预算拨款16万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c)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、电子卡口电费政府性基金拨款50万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元。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d)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、红绿灯电费一般公共预算拨款30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e)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、路灯维修维护73万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（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一般公共预算拨款6万元、政府性基金拨款67万元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）。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f)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、文化旅游节景观维护费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90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325354" w:rsidRPr="003435A1" w:rsidRDefault="003435A1" w:rsidP="003435A1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2、</w:t>
      </w:r>
      <w:r w:rsidR="00325354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专项资金实际使用情况分析</w:t>
      </w:r>
    </w:p>
    <w:p w:rsidR="00325354" w:rsidRPr="003435A1" w:rsidRDefault="0062150A" w:rsidP="003435A1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="00436B23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2020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年实际专项资金支出项目支出共计</w:t>
      </w:r>
      <w:r w:rsidR="00436B23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735.8905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元，其中</w:t>
      </w:r>
      <w:r w:rsidR="00436B23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路灯维修维护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 w:rsidR="00436B23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支出120.545万元；路灯电费支出、环湖景观亮化维护、路灯工程车</w:t>
      </w:r>
      <w:r w:rsidR="00634D2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 w:rsidR="00436B23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支出381.345万元；路灯维修（护）、路灯工程车支出政府性基金支出167万元。路灯维修维护政府性基金支67万元。</w:t>
      </w:r>
    </w:p>
    <w:p w:rsidR="00325354" w:rsidRPr="003435A1" w:rsidRDefault="003435A1" w:rsidP="003435A1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3、</w:t>
      </w:r>
      <w:r w:rsidR="00325354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专项资金管理情况分析</w:t>
      </w:r>
    </w:p>
    <w:p w:rsidR="00325354" w:rsidRPr="003435A1" w:rsidRDefault="00325354" w:rsidP="003435A1">
      <w:pPr>
        <w:shd w:val="clear" w:color="auto" w:fill="FFFFFF"/>
        <w:spacing w:line="520" w:lineRule="exact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项资金本着专款专用的原则，严格执行项目资金批准的使用计划和项目批复内容，不擅自调项、扩项、缩项，不拆借、挪用、挤占。资金拨付动向按不同专项资金的要求执行。同时对每笔专项资金的支付，严格执行财务制度，落实专项资金审核程序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三、部门（单位）专项组织实施情况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（一）专项组织情况分析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lastRenderedPageBreak/>
        <w:t>各项专项资金都安排责任人，按专项资金的用途专款专用。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（二）专项管理情况分析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在使用专项资金时，严格执行专项资使用制度和财务制度，同时对各项专项资金的使用流程进行监督，定时查看财务表报检查专项资金使用情况。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四、存在的主要问题及有关建议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（一）存在的问题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Chars="250" w:firstLine="80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</w:t>
      </w:r>
      <w:r w:rsidR="003435A1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编制有待更严格执行。预算编制与实际支出项目有的仍存在细微差异。</w:t>
      </w:r>
    </w:p>
    <w:p w:rsidR="003435A1" w:rsidRPr="003435A1" w:rsidRDefault="00AA6677" w:rsidP="003435A1">
      <w:pPr>
        <w:widowControl/>
        <w:shd w:val="clear" w:color="auto" w:fill="FFFFFF"/>
        <w:spacing w:line="520" w:lineRule="exact"/>
        <w:ind w:firstLineChars="235" w:firstLine="752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</w:t>
      </w:r>
      <w:r w:rsidR="003435A1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固定资产管理有待加强。部分固定资产折损，未及时进行清理。</w:t>
      </w:r>
    </w:p>
    <w:p w:rsidR="003435A1" w:rsidRPr="00AA6677" w:rsidRDefault="003435A1" w:rsidP="003435A1">
      <w:pPr>
        <w:widowControl/>
        <w:shd w:val="clear" w:color="auto" w:fill="FFFFFF"/>
        <w:spacing w:line="520" w:lineRule="exact"/>
        <w:ind w:firstLineChars="235" w:firstLine="752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3435A1">
        <w:rPr>
          <w:rFonts w:ascii="仿宋" w:eastAsia="仿宋" w:hAnsi="仿宋" w:cs="宋体" w:hint="eastAsia"/>
          <w:color w:val="000000" w:themeColor="text1"/>
          <w:sz w:val="32"/>
          <w:szCs w:val="32"/>
        </w:rPr>
        <w:t>3、</w:t>
      </w:r>
      <w:r w:rsidRPr="00AA6677">
        <w:rPr>
          <w:rFonts w:ascii="仿宋" w:eastAsia="仿宋" w:hAnsi="仿宋" w:cs="宋体" w:hint="eastAsia"/>
          <w:color w:val="000000" w:themeColor="text1"/>
          <w:sz w:val="32"/>
          <w:szCs w:val="32"/>
        </w:rPr>
        <w:t>绩效目标设立不够明确、细化和量化。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（二）有关建议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1.按照预算规定的项目和用途严格财务审核，经费支出严格按预算规定项目的财务支出内容进行财务核算，在预算金额内严格控制费用的支出。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2.预算财务分析常态化，定期做好预算支出财务分析，做好单位整体支出预算评价工作。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3.完善固定资产管理制度，从资产采购、使用以及报废各环节规范固定资产的管理，提高固定资产使用效率，减少资金浪费。</w:t>
      </w:r>
    </w:p>
    <w:p w:rsidR="00325354" w:rsidRDefault="00325354" w:rsidP="003435A1">
      <w:pPr>
        <w:widowControl/>
        <w:shd w:val="clear" w:color="auto" w:fill="FFFFFF"/>
        <w:spacing w:line="520" w:lineRule="exact"/>
        <w:ind w:firstLineChars="200" w:firstLine="380"/>
        <w:rPr>
          <w:rFonts w:ascii="仿宋" w:eastAsia="仿宋" w:hAnsi="仿宋" w:cs="Arial"/>
          <w:color w:val="000000" w:themeColor="text1"/>
          <w:kern w:val="0"/>
          <w:sz w:val="19"/>
          <w:szCs w:val="19"/>
        </w:rPr>
      </w:pPr>
    </w:p>
    <w:p w:rsidR="00CE7AE0" w:rsidRPr="003435A1" w:rsidRDefault="00CE7AE0" w:rsidP="003435A1">
      <w:pPr>
        <w:widowControl/>
        <w:shd w:val="clear" w:color="auto" w:fill="FFFFFF"/>
        <w:spacing w:line="520" w:lineRule="exact"/>
        <w:ind w:firstLineChars="200" w:firstLine="380"/>
        <w:rPr>
          <w:rFonts w:ascii="仿宋" w:eastAsia="仿宋" w:hAnsi="仿宋" w:cs="Arial"/>
          <w:color w:val="000000" w:themeColor="text1"/>
          <w:kern w:val="0"/>
          <w:sz w:val="19"/>
          <w:szCs w:val="19"/>
        </w:rPr>
      </w:pPr>
    </w:p>
    <w:p w:rsidR="00CE7AE0" w:rsidRPr="00CE7AE0" w:rsidRDefault="00CE7AE0" w:rsidP="00CE7AE0">
      <w:pPr>
        <w:spacing w:line="520" w:lineRule="exact"/>
        <w:ind w:firstLineChars="1300" w:firstLine="4160"/>
        <w:rPr>
          <w:rFonts w:ascii="仿宋" w:eastAsia="仿宋" w:hAnsi="仿宋"/>
          <w:color w:val="000000" w:themeColor="text1"/>
          <w:sz w:val="32"/>
          <w:szCs w:val="32"/>
        </w:rPr>
      </w:pPr>
      <w:r w:rsidRPr="00CE7AE0">
        <w:rPr>
          <w:rFonts w:ascii="仿宋" w:eastAsia="仿宋" w:hAnsi="仿宋" w:hint="eastAsia"/>
          <w:color w:val="000000" w:themeColor="text1"/>
          <w:sz w:val="32"/>
          <w:szCs w:val="32"/>
        </w:rPr>
        <w:t>沅江市路灯灯饰服务中心</w:t>
      </w:r>
    </w:p>
    <w:p w:rsidR="00CE7AE0" w:rsidRPr="00CE7AE0" w:rsidRDefault="00CE7AE0" w:rsidP="00CE7AE0">
      <w:pPr>
        <w:spacing w:line="52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 w:rsidRPr="00CE7AE0">
        <w:rPr>
          <w:rFonts w:ascii="仿宋" w:eastAsia="仿宋" w:hAnsi="仿宋" w:hint="eastAsia"/>
          <w:color w:val="000000" w:themeColor="text1"/>
          <w:sz w:val="32"/>
          <w:szCs w:val="32"/>
        </w:rPr>
        <w:t>2021年7月15日</w:t>
      </w:r>
    </w:p>
    <w:sectPr w:rsidR="00CE7AE0" w:rsidRPr="00CE7AE0" w:rsidSect="0083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430"/>
    <w:multiLevelType w:val="hybridMultilevel"/>
    <w:tmpl w:val="A41400E8"/>
    <w:lvl w:ilvl="0" w:tplc="E2D6CEDE">
      <w:start w:val="1"/>
      <w:numFmt w:val="decimal"/>
      <w:lvlText w:val="%1、"/>
      <w:lvlJc w:val="left"/>
      <w:pPr>
        <w:ind w:left="1780" w:hanging="114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C9218A"/>
    <w:multiLevelType w:val="hybridMultilevel"/>
    <w:tmpl w:val="A80A24DC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354"/>
    <w:rsid w:val="00143B2D"/>
    <w:rsid w:val="0018265E"/>
    <w:rsid w:val="001B6BB9"/>
    <w:rsid w:val="00325354"/>
    <w:rsid w:val="003435A1"/>
    <w:rsid w:val="00430C16"/>
    <w:rsid w:val="00436B23"/>
    <w:rsid w:val="0062150A"/>
    <w:rsid w:val="00634D2E"/>
    <w:rsid w:val="00637CFE"/>
    <w:rsid w:val="00701954"/>
    <w:rsid w:val="00703435"/>
    <w:rsid w:val="008337A1"/>
    <w:rsid w:val="008A184F"/>
    <w:rsid w:val="00AA6677"/>
    <w:rsid w:val="00CE7AE0"/>
    <w:rsid w:val="00E70555"/>
    <w:rsid w:val="00F2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181">
                  <w:marLeft w:val="0"/>
                  <w:marRight w:val="0"/>
                  <w:marTop w:val="0"/>
                  <w:marBottom w:val="0"/>
                  <w:divBdr>
                    <w:top w:val="single" w:sz="2" w:space="7" w:color="E1E2E2"/>
                    <w:left w:val="single" w:sz="4" w:space="6" w:color="E1E2E2"/>
                    <w:bottom w:val="single" w:sz="4" w:space="0" w:color="E1E2E2"/>
                    <w:right w:val="single" w:sz="4" w:space="6" w:color="E1E2E2"/>
                  </w:divBdr>
                  <w:divsChild>
                    <w:div w:id="5250197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D8D8D8"/>
                        <w:left w:val="single" w:sz="4" w:space="12" w:color="D8D8D8"/>
                        <w:bottom w:val="single" w:sz="4" w:space="12" w:color="D8D8D8"/>
                        <w:right w:val="single" w:sz="4" w:space="12" w:color="D8D8D8"/>
                      </w:divBdr>
                      <w:divsChild>
                        <w:div w:id="10198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36" w:space="3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66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6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6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2021-07-15T02:03:00Z</dcterms:created>
  <dcterms:modified xsi:type="dcterms:W3CDTF">2021-07-16T07:18:00Z</dcterms:modified>
</cp:coreProperties>
</file>