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沅江市水利局2020年部门预算公开</w:t>
      </w: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目  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0"/>
        </w:numPr>
        <w:spacing w:line="560" w:lineRule="exact"/>
        <w:ind w:leftChars="0"/>
        <w:rPr>
          <w:rFonts w:hint="eastAsia"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第一部分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部门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预</w:t>
      </w:r>
      <w:r>
        <w:rPr>
          <w:rFonts w:hint="eastAsia" w:ascii="仿宋_GB2312" w:eastAsia="仿宋_GB2312"/>
          <w:b/>
          <w:bCs/>
          <w:sz w:val="32"/>
          <w:szCs w:val="32"/>
        </w:rPr>
        <w:t>算公开说明</w:t>
      </w:r>
    </w:p>
    <w:p>
      <w:pPr>
        <w:pStyle w:val="8"/>
        <w:numPr>
          <w:ilvl w:val="0"/>
          <w:numId w:val="0"/>
        </w:numPr>
        <w:spacing w:line="560" w:lineRule="exact"/>
        <w:ind w:leftChars="0"/>
        <w:rPr>
          <w:rFonts w:hint="default" w:ascii="仿宋_GB2312" w:hAnsi="Calibri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第二部分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2020年部门预算表</w:t>
      </w:r>
    </w:p>
    <w:p>
      <w:pPr>
        <w:pStyle w:val="8"/>
        <w:numPr>
          <w:ilvl w:val="0"/>
          <w:numId w:val="0"/>
        </w:numPr>
        <w:spacing w:line="560" w:lineRule="exact"/>
        <w:ind w:leftChars="0" w:firstLine="320" w:firstLineChars="1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部门收支总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</w:p>
    <w:p>
      <w:pPr>
        <w:pStyle w:val="8"/>
        <w:numPr>
          <w:ilvl w:val="0"/>
          <w:numId w:val="0"/>
        </w:numPr>
        <w:spacing w:line="560" w:lineRule="exact"/>
        <w:ind w:leftChars="0" w:firstLine="320" w:firstLineChars="1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部门收入总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</w:p>
    <w:p>
      <w:pPr>
        <w:spacing w:line="560" w:lineRule="exact"/>
        <w:ind w:firstLine="320" w:firstLineChars="1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部门</w:t>
      </w:r>
      <w:r>
        <w:rPr>
          <w:rFonts w:hint="eastAsia" w:ascii="仿宋_GB2312" w:hAnsi="Calibri" w:eastAsia="仿宋_GB2312" w:cs="Times New Roman"/>
          <w:sz w:val="32"/>
          <w:szCs w:val="32"/>
        </w:rPr>
        <w:t>支出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总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</w:p>
    <w:p>
      <w:pPr>
        <w:spacing w:line="560" w:lineRule="exact"/>
        <w:ind w:firstLine="320" w:firstLineChars="1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部门</w:t>
      </w:r>
      <w:r>
        <w:rPr>
          <w:rFonts w:hint="eastAsia" w:ascii="仿宋_GB2312" w:hAnsi="Calibri" w:eastAsia="仿宋_GB2312" w:cs="Times New Roman"/>
          <w:sz w:val="32"/>
          <w:szCs w:val="32"/>
        </w:rPr>
        <w:t>支出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总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（按部门经济分类）</w:t>
      </w:r>
    </w:p>
    <w:p>
      <w:pPr>
        <w:spacing w:line="560" w:lineRule="exact"/>
        <w:ind w:firstLine="320" w:firstLineChars="1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部门</w:t>
      </w:r>
      <w:r>
        <w:rPr>
          <w:rFonts w:hint="eastAsia" w:ascii="仿宋_GB2312" w:hAnsi="Calibri" w:eastAsia="仿宋_GB2312" w:cs="Times New Roman"/>
          <w:sz w:val="32"/>
          <w:szCs w:val="32"/>
        </w:rPr>
        <w:t>支出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总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（按政府预算经济分类）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基本支出预算明细表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--工资福利支出(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按部门预算经济分类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/>
          <w:sz w:val="32"/>
          <w:szCs w:val="32"/>
          <w:lang w:eastAsia="zh-CN"/>
        </w:rPr>
        <w:t>基本支出预算明细表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--工资福利支出(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按政府预算经济分类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基本支出预算明细表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--商品和服务支出(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按部门预算经济分类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9、</w:t>
      </w:r>
      <w:r>
        <w:rPr>
          <w:rFonts w:hint="eastAsia" w:ascii="仿宋_GB2312" w:eastAsia="仿宋_GB2312"/>
          <w:sz w:val="32"/>
          <w:szCs w:val="32"/>
          <w:lang w:eastAsia="zh-CN"/>
        </w:rPr>
        <w:t>基本支出预算明细表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--商品和服务支出(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按政府预算经济分类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基本支出预算明细表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--对个人和家庭补助支出(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按部门预算经济分类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11、</w:t>
      </w:r>
      <w:r>
        <w:rPr>
          <w:rFonts w:hint="eastAsia" w:ascii="仿宋_GB2312" w:eastAsia="仿宋_GB2312"/>
          <w:sz w:val="32"/>
          <w:szCs w:val="32"/>
          <w:lang w:eastAsia="zh-CN"/>
        </w:rPr>
        <w:t>基本支出预算明细表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--对个人和家庭补助支出(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按政府预算经济分类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320" w:firstLineChars="1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财政拨款收支总表</w:t>
      </w:r>
    </w:p>
    <w:p>
      <w:pPr>
        <w:spacing w:line="560" w:lineRule="exact"/>
        <w:ind w:firstLine="320" w:firstLineChars="1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13、一般公共预算支出情况表</w:t>
      </w:r>
    </w:p>
    <w:p>
      <w:pPr>
        <w:spacing w:line="560" w:lineRule="exact"/>
        <w:ind w:firstLine="320" w:firstLineChars="1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14、一般公共预算基本支出情况表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15、一般公共预算基本支出预算明细表-工资福利支出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按部门预算经济分类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一般公共预算基本支出预算明细表-工资福利支出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按政府预算经济分类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一般公共预算基本支出预算明细表-商品和服务支出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按部门预算经济分类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一般公共预算基本支出预算明细表-商品和服务支出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按政府预算经济分类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一般公共预算基本支出预算明细表-商品和服务支出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按部门预算经济分类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一般公共预算基本支出预算明细表-商品和服务支出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按政府预算经济分类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21、政府性基金预算支出情况表(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按部门预算经济分类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22、政府性基金预算支出情况表(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按政府预算经济分类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23、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纳入专户管理的非税收入拨款预算支出情况表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按部门预算经济分类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24、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纳入专户管理的非税收入拨款预算支出情况表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按政府预算经济分类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、经费拨款预算支出情况表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按部门预算经济分类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26、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经费拨款预算支出情况表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按政府预算经济分类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27、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专项资金预算汇总表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、一般公共预算“三公经费”预算表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29、单位项目支出预算绩效目标申报表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30、部门整体支出预算绩效目标申报表</w:t>
      </w:r>
    </w:p>
    <w:p/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b/>
          <w:bCs/>
          <w:sz w:val="30"/>
          <w:szCs w:val="30"/>
          <w:lang w:eastAsia="zh-CN"/>
        </w:rPr>
      </w:pPr>
    </w:p>
    <w:p>
      <w:pPr>
        <w:rPr>
          <w:rFonts w:hint="eastAsia"/>
          <w:b/>
          <w:bCs/>
          <w:sz w:val="30"/>
          <w:szCs w:val="30"/>
          <w:lang w:eastAsia="zh-CN"/>
        </w:rPr>
      </w:pPr>
    </w:p>
    <w:p>
      <w:pPr>
        <w:rPr>
          <w:rFonts w:hint="eastAsia"/>
          <w:b/>
          <w:bCs/>
          <w:sz w:val="30"/>
          <w:szCs w:val="30"/>
          <w:lang w:eastAsia="zh-CN"/>
        </w:rPr>
      </w:pPr>
    </w:p>
    <w:p>
      <w:pPr>
        <w:rPr>
          <w:rFonts w:hint="eastAsia"/>
          <w:b/>
          <w:bCs/>
          <w:sz w:val="30"/>
          <w:szCs w:val="30"/>
          <w:lang w:eastAsia="zh-CN"/>
        </w:rPr>
      </w:pPr>
    </w:p>
    <w:p>
      <w:pPr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第一部分</w:t>
      </w:r>
    </w:p>
    <w:p>
      <w:pPr>
        <w:widowControl/>
        <w:shd w:val="clear" w:color="auto" w:fill="FFFFFF"/>
        <w:spacing w:before="100" w:after="100" w:line="404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沅江市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水利局</w:t>
      </w:r>
    </w:p>
    <w:p>
      <w:pPr>
        <w:widowControl/>
        <w:shd w:val="clear" w:color="auto" w:fill="FFFFFF"/>
        <w:spacing w:before="100" w:after="100" w:line="404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color w:val="000000"/>
          <w:kern w:val="0"/>
          <w:sz w:val="36"/>
          <w:szCs w:val="36"/>
          <w:lang w:eastAsia="zh-CN"/>
        </w:rPr>
        <w:t>2020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年部门预算说明</w:t>
      </w:r>
      <w:r>
        <w:rPr>
          <w:rFonts w:hint="eastAsia" w:ascii="宋体" w:hAnsi="宋体" w:cs="宋体"/>
          <w:color w:val="000000"/>
          <w:kern w:val="0"/>
          <w:sz w:val="24"/>
        </w:rPr>
        <w:t>　　</w:t>
      </w:r>
    </w:p>
    <w:p>
      <w:pPr>
        <w:widowControl/>
        <w:shd w:val="clear" w:color="auto" w:fill="FFFFFF"/>
        <w:spacing w:before="100" w:after="100" w:line="560" w:lineRule="atLeast"/>
        <w:ind w:firstLine="480" w:firstLineChars="15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00" w:after="100" w:line="560" w:lineRule="atLeast"/>
        <w:ind w:firstLine="480" w:firstLineChars="15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根据湖南省财政厅部门预算公开的相关要求，现将沅江市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水利局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系统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年部门预算编制说明如下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</w:p>
    <w:p>
      <w:pPr>
        <w:widowControl/>
        <w:numPr>
          <w:ilvl w:val="0"/>
          <w:numId w:val="1"/>
        </w:numPr>
        <w:shd w:val="clear" w:color="auto" w:fill="FFFFFF"/>
        <w:spacing w:before="100" w:after="100" w:line="560" w:lineRule="atLeast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工作职责</w:t>
      </w:r>
    </w:p>
    <w:p>
      <w:pPr>
        <w:widowControl/>
        <w:spacing w:line="520" w:lineRule="atLeast"/>
        <w:ind w:firstLine="42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（一）负责指导和审核本系统和机关编制年度财政综合预算及决算，并监督检查各单位收支执行情况；</w:t>
      </w:r>
    </w:p>
    <w:p>
      <w:pPr>
        <w:widowControl/>
        <w:spacing w:line="520" w:lineRule="atLeast"/>
        <w:ind w:firstLine="42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（二）负责审核本系统和机关用款指标和计划，及时拨付资金；</w:t>
      </w:r>
    </w:p>
    <w:p>
      <w:pPr>
        <w:widowControl/>
        <w:spacing w:line="520" w:lineRule="atLeast"/>
        <w:ind w:firstLine="42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（三）指导和监督本系统和机关会计核算业务，审核乡镇收支原始凭证和会计报表；</w:t>
      </w:r>
    </w:p>
    <w:p>
      <w:pPr>
        <w:widowControl/>
        <w:spacing w:line="520" w:lineRule="atLeast"/>
        <w:ind w:firstLine="42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（四）负责全市本系统和机关财务管理工作的考核评比；</w:t>
      </w:r>
    </w:p>
    <w:p>
      <w:pPr>
        <w:widowControl/>
        <w:shd w:val="clear" w:color="auto" w:fill="FFFFFF"/>
        <w:spacing w:before="100" w:after="100" w:line="560" w:lineRule="atLeast"/>
        <w:ind w:firstLine="472" w:firstLineChars="147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after="100" w:line="560" w:lineRule="atLeast"/>
        <w:ind w:firstLine="472" w:firstLineChars="147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二、部门预算单位构成</w:t>
      </w:r>
      <w:r>
        <w:rPr>
          <w:rFonts w:hint="eastAsia" w:ascii="宋体" w:hAnsi="宋体" w:eastAsia="仿宋" w:cs="宋体"/>
          <w:b/>
          <w:bCs/>
          <w:color w:val="000000"/>
          <w:kern w:val="0"/>
          <w:sz w:val="32"/>
          <w:szCs w:val="32"/>
        </w:rPr>
        <w:t> </w:t>
      </w:r>
    </w:p>
    <w:p>
      <w:pPr>
        <w:widowControl/>
        <w:spacing w:line="520" w:lineRule="atLeast"/>
        <w:ind w:firstLine="42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根据编委核定，我局内设股室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个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（其中办公室、规划计划与科技股、水利工程建设管理股、水土保持股、政策法规股、水资源河湖管理股、财务股、人事股）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，所属事业单位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u w:val="single"/>
        </w:rPr>
        <w:t> 1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个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（其中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14个水管站：城区水管站、胭脂湖水管站、南嘴水管站、新湾水管站、草尾水管站、阳罗水管站、四季红水管站、南大水管站、漉湖水管站、黄茅洲水管站、共华水管站、茶盘洲水管站、泗湖山水管站、南洞庭水管站，3个水利工程管理单位：河道湖泊管理站、紫红洲电排管理站、排灌建设管理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，企业单位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u w:val="single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个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（挖泥船队、机械化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施工站）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，除2个企业单位外其余1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个单位全部纳入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年部门预算编制范围。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 </w:t>
      </w:r>
    </w:p>
    <w:p>
      <w:pPr>
        <w:widowControl/>
        <w:numPr>
          <w:ilvl w:val="0"/>
          <w:numId w:val="0"/>
        </w:numPr>
        <w:spacing w:line="520" w:lineRule="atLeast"/>
        <w:ind w:firstLine="643" w:firstLineChars="20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部门预算人员构成</w:t>
      </w:r>
    </w:p>
    <w:p>
      <w:pPr>
        <w:widowControl/>
        <w:numPr>
          <w:ilvl w:val="0"/>
          <w:numId w:val="0"/>
        </w:numPr>
        <w:spacing w:line="520" w:lineRule="atLeas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年1月（预算编制时间），我局纳入部门预算编制1114人。其中：实有在职458人，离退休人员656人 ，自收自支846人，遗属161人。</w:t>
      </w:r>
    </w:p>
    <w:p>
      <w:pPr>
        <w:widowControl/>
        <w:numPr>
          <w:ilvl w:val="0"/>
          <w:numId w:val="0"/>
        </w:numPr>
        <w:spacing w:line="520" w:lineRule="atLeast"/>
        <w:ind w:left="480" w:leftChars="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after="100" w:line="560" w:lineRule="atLeast"/>
        <w:ind w:firstLine="472" w:firstLineChars="147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四、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年收支预算</w:t>
      </w:r>
    </w:p>
    <w:p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部门预算包括本级预算和所属单位预算在内的汇总情况。按照预算管理有关规定，部门预算的编制实行综合预算制度，即全部收入和支出都反映在预算中。支出情况分别按资金来源、项目类别、功能分类科目和经济分类科目反映。</w:t>
      </w:r>
    </w:p>
    <w:p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（一）收入预算</w:t>
      </w:r>
    </w:p>
    <w:p>
      <w:pPr>
        <w:widowControl/>
        <w:shd w:val="clear" w:color="auto" w:fill="FFFFFF"/>
        <w:spacing w:before="100" w:after="100" w:line="560" w:lineRule="atLeast"/>
        <w:ind w:firstLine="64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年单位预算收入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8014.745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万元，其中：一般公共预算拨款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6313.345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万元，纳入公共预算管理的非税拨款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纳入非税专户管理的资金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拨款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590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上级补助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收入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868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万元，事业单位经营收入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万元，其他收入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171.4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万元。收入较去年增加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236.229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万元，主要是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工资调级人员经费相应增加。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before="100" w:after="100" w:line="560" w:lineRule="atLeast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（二）支出预算</w:t>
      </w:r>
    </w:p>
    <w:p>
      <w:pPr>
        <w:widowControl/>
        <w:shd w:val="clear" w:color="auto" w:fill="FFFFFF"/>
        <w:spacing w:before="100" w:after="100" w:line="560" w:lineRule="atLeast"/>
        <w:ind w:left="140" w:firstLine="428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年单位预算支出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8014.745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万元，其中：</w:t>
      </w:r>
    </w:p>
    <w:p>
      <w:pPr>
        <w:widowControl/>
        <w:shd w:val="clear" w:color="auto" w:fill="FFFFFF"/>
        <w:spacing w:line="560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1、按支出项目类别分：</w:t>
      </w:r>
    </w:p>
    <w:p>
      <w:pPr>
        <w:widowControl/>
        <w:shd w:val="clear" w:color="auto" w:fill="FFFFFF"/>
        <w:spacing w:line="560" w:lineRule="atLeas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基本支出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6153.745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万元，分别为：人员经费支出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5707.145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万元，公用经费支出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339.5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万元，主要是保障单位机构正常运转、完成日常工作任务而发生的各项支出，包括用于基本工资、津贴补贴等人员经费以及办公费、印刷费、水电费、办公设备购置等日常公用经费。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widowControl/>
        <w:shd w:val="clear" w:color="auto" w:fill="FFFFFF"/>
        <w:spacing w:line="560" w:lineRule="atLeas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1861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万元，其中: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减轻农民负担中央转移支付资金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628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万元，主要用于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全市范围内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314公里大堤的维修维护管理、水利工程设施的维护管理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等方面；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地方水利建设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590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万元，主要用于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各乡镇加大水利设施的维修养护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等方面；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防汛砂石采购项目支出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55万元，主要用于全市汛前防汛砂石的补库；汛前处险项目支出20万元，主要用于防汛处险；砂石执法工作经费366万元，主要用于全市砂石执法专项工作人员及工作经费；单位项目申报专项工作经费8万元，主要用于单位全年项目申报开支支出；黄家湖电排站排渍电费20万元，主要用于黄家湖电排站电费开支支出；招商引资专项工作经费4万元，主要用于招商引资专项支出；防汛工作经费25万元主要用于防汛专项工作支出；河长制工作 经费32万元主要用于河长办人员经费及工作经费支出。</w:t>
      </w:r>
    </w:p>
    <w:p>
      <w:pPr>
        <w:widowControl/>
        <w:shd w:val="clear" w:color="auto" w:fill="FFFFFF"/>
        <w:spacing w:line="560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2、按支出功能分类股目：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2010301行政运行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5730.745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万元；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01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住房公积金支出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360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万元；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2010302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一般行政管理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599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2130306水利工程建设590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2130399其他水利支出32万元；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2130314防汛75万元；</w:t>
      </w:r>
    </w:p>
    <w:p>
      <w:pPr>
        <w:widowControl/>
        <w:shd w:val="clear" w:color="auto" w:fill="FFFFFF"/>
        <w:spacing w:line="560" w:lineRule="atLeast"/>
        <w:ind w:firstLine="64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2130799其他农村综合改革支出628万元；</w:t>
      </w:r>
    </w:p>
    <w:p>
      <w:pPr>
        <w:widowControl/>
        <w:shd w:val="clear" w:color="auto" w:fill="FFFFFF"/>
        <w:spacing w:line="560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3、按支出经济分类股目：</w:t>
      </w:r>
    </w:p>
    <w:p>
      <w:pPr>
        <w:widowControl/>
        <w:shd w:val="clear" w:color="auto" w:fill="FFFFFF"/>
        <w:spacing w:line="560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工资福利支出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5730.745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万元；</w:t>
      </w:r>
    </w:p>
    <w:p>
      <w:pPr>
        <w:widowControl/>
        <w:shd w:val="clear" w:color="auto" w:fill="FFFFFF"/>
        <w:spacing w:line="560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商品和服务支出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万元；</w:t>
      </w:r>
    </w:p>
    <w:p>
      <w:pPr>
        <w:widowControl/>
        <w:shd w:val="clear" w:color="auto" w:fill="FFFFFF"/>
        <w:spacing w:line="560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对个人和家庭的补助支出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90.334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万元；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1861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万元；</w:t>
      </w:r>
    </w:p>
    <w:p>
      <w:pPr>
        <w:widowControl/>
        <w:shd w:val="clear" w:color="auto" w:fill="FFFFFF"/>
        <w:spacing w:before="100" w:after="100" w:line="560" w:lineRule="atLeast"/>
        <w:ind w:firstLine="57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年全年收支预算平衡。</w:t>
      </w:r>
    </w:p>
    <w:p>
      <w:pPr>
        <w:widowControl/>
        <w:numPr>
          <w:ilvl w:val="0"/>
          <w:numId w:val="0"/>
        </w:numPr>
        <w:shd w:val="clear" w:color="auto" w:fill="FFFFFF"/>
        <w:spacing w:before="100" w:after="100" w:line="560" w:lineRule="atLeast"/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一般公共预算拨款支出预算 </w:t>
      </w:r>
    </w:p>
    <w:p>
      <w:pPr>
        <w:widowControl/>
        <w:numPr>
          <w:ilvl w:val="0"/>
          <w:numId w:val="0"/>
        </w:numPr>
        <w:shd w:val="clear" w:color="auto" w:fill="FFFFFF"/>
        <w:spacing w:before="100" w:after="100" w:line="560" w:lineRule="atLeast"/>
        <w:ind w:firstLine="960" w:firstLineChars="3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2020 年一般公共预算拨款收入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7253.345</w:t>
      </w:r>
      <w:r>
        <w:rPr>
          <w:rFonts w:hint="eastAsia" w:ascii="仿宋" w:hAnsi="仿宋" w:eastAsia="仿宋" w:cs="仿宋"/>
          <w:sz w:val="32"/>
          <w:szCs w:val="32"/>
        </w:rPr>
        <w:t xml:space="preserve"> 万元，具体安 排情况如下： （一）基本支出：2020 年基本支出年初预算数为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5982.345</w:t>
      </w:r>
      <w:r>
        <w:rPr>
          <w:rFonts w:hint="eastAsia" w:ascii="仿宋" w:hAnsi="仿宋" w:eastAsia="仿宋" w:cs="仿宋"/>
          <w:sz w:val="32"/>
          <w:szCs w:val="32"/>
        </w:rPr>
        <w:t xml:space="preserve">万元，是指为保障单位机构正常运转、完成日常工 作任务而发生的各项支出，包括用于基本工资、津贴补贴等人员经费以及办公费、印刷费、水电费、办公设备购置等日 常公用经费。 （二）项目支出：2020 年项目支出年初预算数为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1271</w:t>
      </w:r>
      <w:r>
        <w:rPr>
          <w:rFonts w:hint="eastAsia" w:ascii="仿宋" w:hAnsi="仿宋" w:eastAsia="仿宋" w:cs="仿宋"/>
          <w:sz w:val="32"/>
          <w:szCs w:val="32"/>
        </w:rPr>
        <w:t xml:space="preserve"> 万元，是指单位为完成特定行政工作任务或事业发展目标而 发生的支出，包括有关业务工作经费和运行维护经费。其中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业务工作经费支出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 万元，主要用于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单位项目申报</w:t>
      </w:r>
      <w:r>
        <w:rPr>
          <w:rFonts w:hint="eastAsia" w:ascii="仿宋" w:hAnsi="仿宋" w:eastAsia="仿宋" w:cs="仿宋"/>
          <w:sz w:val="32"/>
          <w:szCs w:val="32"/>
        </w:rPr>
        <w:t>等方面；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砂石执法</w:t>
      </w:r>
      <w:r>
        <w:rPr>
          <w:rFonts w:hint="eastAsia" w:ascii="仿宋" w:hAnsi="仿宋" w:eastAsia="仿宋" w:cs="仿宋"/>
          <w:sz w:val="32"/>
          <w:szCs w:val="32"/>
        </w:rPr>
        <w:t xml:space="preserve">经费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366</w:t>
      </w:r>
      <w:r>
        <w:rPr>
          <w:rFonts w:hint="eastAsia" w:ascii="仿宋" w:hAnsi="仿宋" w:eastAsia="仿宋" w:cs="仿宋"/>
          <w:sz w:val="32"/>
          <w:szCs w:val="32"/>
        </w:rPr>
        <w:t xml:space="preserve"> 万元，主要用于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砂石执法与管理</w:t>
      </w:r>
      <w:r>
        <w:rPr>
          <w:rFonts w:hint="eastAsia" w:ascii="仿宋" w:hAnsi="仿宋" w:eastAsia="仿宋" w:cs="仿宋"/>
          <w:sz w:val="32"/>
          <w:szCs w:val="32"/>
        </w:rPr>
        <w:t>等方面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；上级补助收入中央转移支付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868万元主要用堤防维护与管理、人员经费等方面；城区排洪排涝经费138万元主要用城区长春垸的防洪排涝电费及电排机埠的管理等方面；</w:t>
      </w:r>
    </w:p>
    <w:p>
      <w:pPr>
        <w:widowControl/>
        <w:numPr>
          <w:ilvl w:val="0"/>
          <w:numId w:val="0"/>
        </w:numPr>
        <w:shd w:val="clear" w:color="auto" w:fill="FFFFFF"/>
        <w:spacing w:before="100" w:after="100" w:line="560" w:lineRule="atLeast"/>
        <w:ind w:firstLine="321" w:firstLineChars="10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其他重要事项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机关运行经费执行情况</w:t>
      </w:r>
    </w:p>
    <w:p>
      <w:pPr>
        <w:ind w:firstLine="600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年单位的机关运行经费当年一般公共预算拨款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1432.693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万元，比2018年预算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188.4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%。增加原因为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2020年部门预算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市政府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水利局机关差额预算部位调整为全额预算单位。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/>
          <w:color w:val="333333"/>
          <w:sz w:val="30"/>
          <w:szCs w:val="30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（二）“三公”经费情况</w:t>
      </w:r>
    </w:p>
    <w:p>
      <w:pPr>
        <w:ind w:firstLine="6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年，我系统 “三公”经费财政拨款预算数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万元，其中：公务接待费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万元，公务用车购置费用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万元，公务用车运行维护费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原因为公车改革后单位无公车。</w:t>
      </w:r>
    </w:p>
    <w:p>
      <w:pPr>
        <w:ind w:firstLine="480" w:firstLineChars="15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（三）政府采购情况</w:t>
      </w:r>
    </w:p>
    <w:p>
      <w:pPr>
        <w:ind w:firstLine="480" w:firstLineChars="15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年，我单位安排政府采购预算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万元，使用采购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万元，主要用于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防汛砂石的调运和采购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等。</w:t>
      </w:r>
    </w:p>
    <w:p>
      <w:pPr>
        <w:ind w:firstLine="480" w:firstLineChars="15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（四）国有资产占用使用情况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截止2018年12月30日，我单位共有车辆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辆，价值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万元；电脑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台，价值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35.98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万元；专用设备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台，价值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251.78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万元等，资产总价值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1737.96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万元。</w:t>
      </w:r>
    </w:p>
    <w:p>
      <w:pPr>
        <w:ind w:firstLine="480" w:firstLineChars="15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（五）预算绩效评价情况</w:t>
      </w:r>
    </w:p>
    <w:p>
      <w:pPr>
        <w:widowControl/>
        <w:shd w:val="clear" w:color="auto" w:fill="FFFFFF"/>
        <w:spacing w:line="524" w:lineRule="atLeas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年度，本部门整体支出和项目支出实行绩效目标管理，纳入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年部门整体支出绩效目标的金额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8014.745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6153.745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万元，项目支出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1861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524" w:lineRule="atLeas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减轻农民负担转移支付资金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项目绩效评价：项目金额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628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万元，完成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628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目标，达到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成效，获得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收益。</w:t>
      </w:r>
    </w:p>
    <w:p>
      <w:pPr>
        <w:widowControl/>
        <w:shd w:val="clear" w:color="auto" w:fill="FFFFFF"/>
        <w:spacing w:line="524" w:lineRule="atLeas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砂石执法工作经费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项目绩效评价：项目金额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366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万元，完成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366万元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目标，达到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成效，获得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收益。</w:t>
      </w:r>
    </w:p>
    <w:p>
      <w:pPr>
        <w:widowControl/>
        <w:shd w:val="clear" w:color="auto" w:fill="FFFFFF"/>
        <w:spacing w:line="524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ind w:firstLine="643" w:firstLineChars="200"/>
        <w:jc w:val="left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六、名词解释</w:t>
      </w:r>
      <w:r>
        <w:rPr>
          <w:rFonts w:hint="eastAsia" w:ascii="宋体" w:hAnsi="宋体" w:cs="Arial"/>
          <w:kern w:val="0"/>
          <w:sz w:val="28"/>
          <w:szCs w:val="28"/>
        </w:rPr>
        <w:t> 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kern w:val="0"/>
          <w:sz w:val="28"/>
          <w:szCs w:val="28"/>
        </w:rPr>
        <w:t>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E4B"/>
    <w:multiLevelType w:val="multilevel"/>
    <w:tmpl w:val="1F4C5E4B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DE9D174"/>
    <w:multiLevelType w:val="singleLevel"/>
    <w:tmpl w:val="5DE9D174"/>
    <w:lvl w:ilvl="0" w:tentative="0">
      <w:start w:val="1"/>
      <w:numFmt w:val="chineseCounting"/>
      <w:suff w:val="nothing"/>
      <w:lvlText w:val="(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EC"/>
    <w:rsid w:val="00145B99"/>
    <w:rsid w:val="00263E2E"/>
    <w:rsid w:val="003B4D05"/>
    <w:rsid w:val="00716A0A"/>
    <w:rsid w:val="007468BC"/>
    <w:rsid w:val="00CB0E7A"/>
    <w:rsid w:val="00D60A6D"/>
    <w:rsid w:val="00D964EC"/>
    <w:rsid w:val="00F7408E"/>
    <w:rsid w:val="055A2533"/>
    <w:rsid w:val="09427BAA"/>
    <w:rsid w:val="09604D6B"/>
    <w:rsid w:val="0EB06939"/>
    <w:rsid w:val="1E4507E5"/>
    <w:rsid w:val="27DE7752"/>
    <w:rsid w:val="33E8668A"/>
    <w:rsid w:val="35907214"/>
    <w:rsid w:val="425F737A"/>
    <w:rsid w:val="436C043F"/>
    <w:rsid w:val="43E31EC5"/>
    <w:rsid w:val="481E247F"/>
    <w:rsid w:val="48DD2D62"/>
    <w:rsid w:val="4A5506F8"/>
    <w:rsid w:val="4E9E3270"/>
    <w:rsid w:val="50063781"/>
    <w:rsid w:val="54465CE7"/>
    <w:rsid w:val="60887417"/>
    <w:rsid w:val="68AE7B23"/>
    <w:rsid w:val="71B466B3"/>
    <w:rsid w:val="7B7F72BB"/>
    <w:rsid w:val="7FF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202</Characters>
  <Lines>1</Lines>
  <Paragraphs>1</Paragraphs>
  <TotalTime>15</TotalTime>
  <ScaleCrop>false</ScaleCrop>
  <LinksUpToDate>false</LinksUpToDate>
  <CharactersWithSpaces>236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2020-02-10T07:55:00Z</dcterms:created>
  <dc:creator>User</dc:creator>
  <cp:lastModifiedBy>Administrator</cp:lastModifiedBy>
  <dcterms:modified xsi:type="dcterms:W3CDTF">2020-12-03T03:54:06Z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