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334" w:lineRule="atLeast"/>
        <w:ind w:firstLine="480"/>
        <w:jc w:val="center"/>
        <w:rPr>
          <w:rFonts w:hint="eastAsia" w:ascii="黑体" w:hAnsi="黑体" w:eastAsia="黑体"/>
          <w:color w:val="000000"/>
          <w:sz w:val="44"/>
          <w:szCs w:val="44"/>
          <w:lang w:eastAsia="zh-CN"/>
        </w:rPr>
      </w:pPr>
      <w:r>
        <w:rPr>
          <w:rFonts w:hint="eastAsia" w:ascii="黑体" w:hAnsi="黑体" w:eastAsia="黑体"/>
          <w:color w:val="000000"/>
          <w:sz w:val="44"/>
          <w:szCs w:val="44"/>
        </w:rPr>
        <w:t>沅江市</w:t>
      </w:r>
      <w:r>
        <w:rPr>
          <w:rFonts w:hint="eastAsia" w:ascii="黑体" w:hAnsi="黑体" w:eastAsia="黑体"/>
          <w:color w:val="000000"/>
          <w:sz w:val="44"/>
          <w:szCs w:val="44"/>
          <w:lang w:eastAsia="zh-CN"/>
        </w:rPr>
        <w:t>住房保障服务中心</w:t>
      </w:r>
    </w:p>
    <w:p>
      <w:pPr>
        <w:pStyle w:val="3"/>
        <w:shd w:val="clear" w:color="auto" w:fill="FFFFFF"/>
        <w:spacing w:before="0" w:beforeAutospacing="0" w:after="0" w:afterAutospacing="0" w:line="334" w:lineRule="atLeast"/>
        <w:ind w:firstLine="480"/>
        <w:jc w:val="center"/>
        <w:rPr>
          <w:rFonts w:ascii="Wingdings" w:hAnsi="Wingdings"/>
          <w:color w:val="333333"/>
          <w:sz w:val="21"/>
          <w:szCs w:val="21"/>
        </w:rPr>
      </w:pPr>
      <w:r>
        <w:rPr>
          <w:rFonts w:hint="eastAsia" w:ascii="黑体" w:hAnsi="黑体" w:eastAsia="黑体"/>
          <w:color w:val="000000"/>
          <w:sz w:val="44"/>
          <w:szCs w:val="44"/>
        </w:rPr>
        <w:t>201</w:t>
      </w:r>
      <w:r>
        <w:rPr>
          <w:rFonts w:hint="eastAsia" w:ascii="黑体" w:hAnsi="黑体" w:eastAsia="黑体"/>
          <w:color w:val="000000"/>
          <w:sz w:val="44"/>
          <w:szCs w:val="44"/>
          <w:lang w:val="en-US" w:eastAsia="zh-CN"/>
        </w:rPr>
        <w:t>9</w:t>
      </w:r>
      <w:r>
        <w:rPr>
          <w:rFonts w:hint="eastAsia" w:ascii="黑体" w:hAnsi="黑体" w:eastAsia="黑体"/>
          <w:color w:val="000000"/>
          <w:sz w:val="44"/>
          <w:szCs w:val="44"/>
        </w:rPr>
        <w:t>年部门决算说明</w:t>
      </w:r>
    </w:p>
    <w:p>
      <w:pPr>
        <w:pStyle w:val="3"/>
        <w:shd w:val="clear" w:color="auto" w:fill="FFFFFF"/>
        <w:spacing w:before="0" w:beforeAutospacing="0" w:after="0" w:afterAutospacing="0" w:line="334" w:lineRule="atLeast"/>
        <w:ind w:firstLine="480"/>
        <w:jc w:val="center"/>
        <w:rPr>
          <w:rFonts w:ascii="Wingdings" w:hAnsi="Wingdings"/>
          <w:color w:val="333333"/>
          <w:sz w:val="21"/>
          <w:szCs w:val="21"/>
        </w:rPr>
      </w:pPr>
      <w:r>
        <w:rPr>
          <w:rFonts w:ascii="Times New Roman" w:hAnsi="Times New Roman" w:cs="Times New Roman"/>
          <w:color w:val="333333"/>
          <w:sz w:val="32"/>
          <w:szCs w:val="32"/>
        </w:rPr>
        <w:t> </w:t>
      </w:r>
    </w:p>
    <w:p>
      <w:pPr>
        <w:pStyle w:val="3"/>
        <w:shd w:val="clear" w:color="auto" w:fill="FFFFFF"/>
        <w:spacing w:before="0" w:beforeAutospacing="0" w:after="0" w:afterAutospacing="0" w:line="334" w:lineRule="atLeast"/>
        <w:ind w:firstLine="640"/>
        <w:jc w:val="both"/>
        <w:rPr>
          <w:rFonts w:ascii="Wingdings" w:hAnsi="Wingdings"/>
          <w:color w:val="333333"/>
          <w:sz w:val="21"/>
          <w:szCs w:val="21"/>
        </w:rPr>
      </w:pPr>
      <w:r>
        <w:rPr>
          <w:rFonts w:hint="eastAsia" w:ascii="黑体" w:hAnsi="黑体" w:eastAsia="黑体"/>
          <w:color w:val="333333"/>
          <w:sz w:val="32"/>
          <w:szCs w:val="32"/>
        </w:rPr>
        <w:t>第一部分</w:t>
      </w:r>
    </w:p>
    <w:p>
      <w:pPr>
        <w:pStyle w:val="3"/>
        <w:shd w:val="clear" w:color="auto" w:fill="FFFFFF"/>
        <w:spacing w:before="0" w:beforeAutospacing="0" w:after="0" w:afterAutospacing="0" w:line="334" w:lineRule="atLeast"/>
        <w:ind w:firstLine="640"/>
        <w:jc w:val="both"/>
        <w:rPr>
          <w:rFonts w:ascii="Wingdings" w:hAnsi="Wingdings"/>
          <w:color w:val="333333"/>
          <w:sz w:val="21"/>
          <w:szCs w:val="21"/>
        </w:rPr>
      </w:pPr>
      <w:r>
        <w:rPr>
          <w:rFonts w:hint="eastAsia" w:ascii="黑体" w:hAnsi="黑体" w:eastAsia="黑体"/>
          <w:color w:val="333333"/>
          <w:sz w:val="32"/>
          <w:szCs w:val="32"/>
        </w:rPr>
        <w:t>沅江市</w:t>
      </w:r>
      <w:r>
        <w:rPr>
          <w:rFonts w:hint="eastAsia" w:ascii="黑体" w:hAnsi="黑体" w:eastAsia="黑体"/>
          <w:color w:val="333333"/>
          <w:sz w:val="32"/>
          <w:szCs w:val="32"/>
          <w:lang w:eastAsia="zh-CN"/>
        </w:rPr>
        <w:t>住房保障服务中心</w:t>
      </w:r>
      <w:r>
        <w:rPr>
          <w:rFonts w:hint="eastAsia" w:ascii="黑体" w:hAnsi="黑体" w:eastAsia="黑体"/>
          <w:color w:val="333333"/>
          <w:sz w:val="32"/>
          <w:szCs w:val="32"/>
        </w:rPr>
        <w:t>概况</w:t>
      </w:r>
    </w:p>
    <w:p>
      <w:pPr>
        <w:pStyle w:val="3"/>
        <w:shd w:val="clear" w:color="auto" w:fill="FFFFFF"/>
        <w:spacing w:before="0" w:beforeAutospacing="0" w:after="0" w:afterAutospacing="0" w:line="334" w:lineRule="atLeast"/>
        <w:ind w:firstLine="640"/>
        <w:jc w:val="both"/>
        <w:rPr>
          <w:rFonts w:ascii="Wingdings" w:hAnsi="Wingdings"/>
          <w:color w:val="333333"/>
          <w:sz w:val="21"/>
          <w:szCs w:val="21"/>
        </w:rPr>
      </w:pPr>
      <w:r>
        <w:rPr>
          <w:rFonts w:hint="eastAsia" w:ascii="黑体" w:hAnsi="黑体" w:eastAsia="黑体"/>
          <w:color w:val="333333"/>
          <w:sz w:val="32"/>
          <w:szCs w:val="32"/>
        </w:rPr>
        <w:t>一、主要职能</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黑体" w:hAnsi="黑体" w:eastAsia="黑体"/>
          <w:color w:val="333333"/>
          <w:sz w:val="32"/>
          <w:szCs w:val="32"/>
        </w:rPr>
        <w:t>《一》</w:t>
      </w:r>
      <w:r>
        <w:rPr>
          <w:rFonts w:hint="eastAsia"/>
          <w:color w:val="333333"/>
          <w:sz w:val="32"/>
          <w:szCs w:val="32"/>
        </w:rPr>
        <w:t> </w:t>
      </w:r>
      <w:r>
        <w:rPr>
          <w:rFonts w:hint="eastAsia" w:ascii="黑体" w:hAnsi="黑体" w:eastAsia="黑体"/>
          <w:b/>
          <w:bCs/>
          <w:color w:val="333333"/>
          <w:sz w:val="32"/>
          <w:szCs w:val="32"/>
        </w:rPr>
        <w:t>职责调整</w:t>
      </w:r>
    </w:p>
    <w:p>
      <w:pPr>
        <w:pStyle w:val="3"/>
        <w:shd w:val="clear" w:color="auto" w:fill="FFFFFF"/>
        <w:spacing w:before="0" w:beforeAutospacing="0" w:after="0" w:afterAutospacing="0" w:line="334" w:lineRule="atLeast"/>
        <w:ind w:firstLine="640"/>
        <w:jc w:val="both"/>
        <w:rPr>
          <w:rFonts w:ascii="Calibri" w:hAnsi="Calibri"/>
          <w:color w:val="333333"/>
          <w:sz w:val="21"/>
          <w:szCs w:val="21"/>
        </w:rPr>
      </w:pPr>
      <w:r>
        <w:rPr>
          <w:rFonts w:hint="eastAsia" w:ascii="仿宋" w:hAnsi="仿宋" w:eastAsia="仿宋"/>
          <w:color w:val="333333"/>
          <w:sz w:val="32"/>
          <w:szCs w:val="32"/>
        </w:rPr>
        <w:t>(一)取消已由市人民政府公布取消的行政审批事项。</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（二）加快建立住房保障体系，完善公租住房制度，强化棚户区改造，着力解决低收入家庭住房困难问题。</w:t>
      </w:r>
    </w:p>
    <w:p>
      <w:pPr>
        <w:pStyle w:val="3"/>
        <w:shd w:val="clear" w:color="auto" w:fill="FFFFFF"/>
        <w:spacing w:before="0" w:beforeAutospacing="0" w:after="0" w:afterAutospacing="0" w:line="334" w:lineRule="atLeast"/>
        <w:ind w:firstLine="482"/>
        <w:jc w:val="both"/>
        <w:rPr>
          <w:rFonts w:ascii="Calibri" w:hAnsi="Calibri"/>
          <w:color w:val="333333"/>
          <w:sz w:val="21"/>
          <w:szCs w:val="21"/>
        </w:rPr>
      </w:pPr>
      <w:r>
        <w:rPr>
          <w:rFonts w:hint="eastAsia" w:ascii="仿宋" w:hAnsi="仿宋" w:eastAsia="仿宋"/>
          <w:b/>
          <w:bCs/>
          <w:color w:val="333333"/>
          <w:sz w:val="32"/>
          <w:szCs w:val="32"/>
        </w:rPr>
        <w:t>主要职责</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一）贯彻执行国家、省有关住房保障、棚户区改造、住房制度改革与房地产业、物业服务管理、国有土地上房屋征收与补偿等的方针、政策和法律、法规、规章。拟订相关发展战略、中长期发展规划、年度计划并组织指导实施;负责综合管理全市住房保障、棚户区改造、房地产业、物业服务行业、国有土地上房屋征收与补偿和住房制度改革工作;负责城区范划内房地产开发与房地产行政执法、房产测绘、白蚁防治、房屋安全鉴定、房屋维修资金以及市本级国有土地上房屋征收与补偿等工作;指导乡镇相关业务工作</w:t>
      </w:r>
      <w:r>
        <w:rPr>
          <w:rFonts w:hint="eastAsia" w:ascii="仿宋" w:hAnsi="仿宋" w:eastAsia="仿宋"/>
          <w:color w:val="000000"/>
          <w:sz w:val="32"/>
          <w:szCs w:val="32"/>
        </w:rPr>
        <w:t>。</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（二）定期制定公布房屋租、售最高限价；发展房地产测绘及其成果应用的监督管理工作。</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（三）负责全市住房保障工作</w:t>
      </w:r>
      <w:r>
        <w:rPr>
          <w:rFonts w:hint="eastAsia" w:ascii="仿宋" w:hAnsi="仿宋" w:eastAsia="仿宋"/>
          <w:color w:val="000000"/>
          <w:sz w:val="32"/>
          <w:szCs w:val="32"/>
        </w:rPr>
        <w:t>。拟订全市住房保障的配套政策措施;负责组织编制全市住房保障和城市棚户区改造建设规划、年度计划;负责全市住房保障和城市棚户区改造的立项争资工作;</w:t>
      </w:r>
      <w:r>
        <w:rPr>
          <w:rFonts w:hint="eastAsia"/>
          <w:color w:val="000000"/>
          <w:sz w:val="32"/>
          <w:szCs w:val="32"/>
        </w:rPr>
        <w:t> </w:t>
      </w:r>
      <w:r>
        <w:rPr>
          <w:rFonts w:hint="eastAsia" w:ascii="仿宋" w:hAnsi="仿宋" w:eastAsia="仿宋"/>
          <w:color w:val="000000"/>
          <w:sz w:val="32"/>
          <w:szCs w:val="32"/>
        </w:rPr>
        <w:t>负责指导全市住房保障的建设和管理并督查督办;负责指导棚户区改造工作；</w:t>
      </w:r>
      <w:r>
        <w:rPr>
          <w:rFonts w:hint="eastAsia" w:ascii="仿宋" w:hAnsi="仿宋" w:eastAsia="仿宋"/>
          <w:color w:val="333333"/>
          <w:sz w:val="32"/>
          <w:szCs w:val="32"/>
        </w:rPr>
        <w:t>会同有关部门做好住房保障资金的安排和监管;</w:t>
      </w:r>
      <w:r>
        <w:rPr>
          <w:rFonts w:hint="eastAsia" w:ascii="仿宋" w:hAnsi="仿宋" w:eastAsia="仿宋"/>
          <w:color w:val="000000"/>
          <w:sz w:val="32"/>
          <w:szCs w:val="32"/>
        </w:rPr>
        <w:t>参与查处住房保障工作中的违规违纪问题；负责廉租房、公租房租金收缴和物业管理工作。</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（四）承担推进住房制度改革的责任。拟定适合市情的住房制度改革政策和方案并组织实施，指导和推进住房制度改革；负责市本级成量公有住房出售、租金改革方案的审核。</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五）负责市城市规划区国有土地上房屋征收与补偿工作。拟订全市国有土地上房屋征收与补偿的相关政策;负责市本级国有土地上房屋征收与补偿的管理与协调监督工作；负责市本级大型工程项目和市政建设项目的国有土地上房屋征收与补偿的具体组织实施；负责对城区房屋征收部门实施的市人民政府投资项目的征收补偿费用进行审核。</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六）负责城镇房地产开发市场的监督管理，负责开发项目审核、商品房销售管理；规范房地产开发资质管理工作；负责房地产开发项目的管理工作，对设计公共安全的内容，组织工程监督、规划、消防、人防等有关部门和单位进行验收；负责城镇新区综合开发建设和旧城成片改造工作，加强重点小区的房地产开发调控工作；负责组织开展房地产市场信息调研监测分析,建立健全市城市规划区房地产市场信息系统和预警预报系统并组织实施,负责中心城区数字房产信息平台的建设、维护和管理。</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（七）负责全市规划区房屋维修资金管理工作。拟订房屋维修资金管理实施办法及相关配套措施;负责市城市规划区内房屋共用部位共用设施设备维修资金归集、使用、管理。</w:t>
      </w:r>
      <w:r>
        <w:rPr>
          <w:rFonts w:hint="eastAsia"/>
          <w:color w:val="333333"/>
          <w:sz w:val="32"/>
          <w:szCs w:val="32"/>
        </w:rPr>
        <w:t>                  </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（八）负责城市危险房屋安全鉴定的监督管理；负责白蚁防治工作；负责房产测绘工作；负责城市规划区内房屋租赁（含外籍人员房屋）监督管理。</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九）负责全市物业服务市场管理和培育。负责监督管理物业服务企业的资质和物业管理行为；承担规范物业服务市场秩序、监督管理物业服务市场的责任；拟订物业服务市场监督和培育的政策并监督执行；指导物业服务招投标工作，监督物业服务行为;负责审核审批物业服务企业的资质和等级;负责组织星级物业服务的评审。</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（十）负责全市城镇规划区内国有直管公房的管理与经营，对社会房屋的经营管理进行业务指导。</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（十一）承办市委、市政府和上级业务主管部门交办的其它工作。</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黑体" w:hAnsi="黑体" w:eastAsia="黑体"/>
          <w:color w:val="333333"/>
          <w:sz w:val="32"/>
          <w:szCs w:val="32"/>
        </w:rPr>
        <w:t>二、部门预算单位构成</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从预算单位构成看，沅江市</w:t>
      </w:r>
      <w:r>
        <w:rPr>
          <w:rFonts w:hint="eastAsia" w:ascii="仿宋" w:hAnsi="仿宋" w:eastAsia="仿宋"/>
          <w:color w:val="333333"/>
          <w:sz w:val="32"/>
          <w:szCs w:val="32"/>
          <w:lang w:eastAsia="zh-CN"/>
        </w:rPr>
        <w:t>住房保障服务中心</w:t>
      </w:r>
      <w:r>
        <w:rPr>
          <w:rFonts w:hint="eastAsia" w:ascii="仿宋" w:hAnsi="仿宋" w:eastAsia="仿宋"/>
          <w:color w:val="333333"/>
          <w:sz w:val="32"/>
          <w:szCs w:val="32"/>
        </w:rPr>
        <w:t>决算包括局机关本级决算（根据财政预算管理制度，所属二级机构为一级预算单位，部门决算报表分别单独公开）说明：二级机构为住房保障办公室列入机关核算，未单独做账。</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沅江市</w:t>
      </w:r>
      <w:r>
        <w:rPr>
          <w:rFonts w:hint="eastAsia" w:ascii="仿宋" w:hAnsi="仿宋" w:eastAsia="仿宋"/>
          <w:color w:val="333333"/>
          <w:sz w:val="32"/>
          <w:szCs w:val="32"/>
          <w:lang w:eastAsia="zh-CN"/>
        </w:rPr>
        <w:t>住房保障服务中心</w:t>
      </w:r>
      <w:r>
        <w:rPr>
          <w:rFonts w:hint="eastAsia" w:ascii="仿宋" w:hAnsi="仿宋" w:eastAsia="仿宋"/>
          <w:color w:val="333333"/>
          <w:sz w:val="32"/>
          <w:szCs w:val="32"/>
        </w:rPr>
        <w:t>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年度部门决算表（见附表）</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第三部分</w:t>
      </w:r>
      <w:r>
        <w:rPr>
          <w:rFonts w:hint="eastAsia"/>
          <w:b/>
          <w:bCs/>
          <w:color w:val="333333"/>
          <w:sz w:val="32"/>
          <w:szCs w:val="32"/>
        </w:rPr>
        <w:t> </w:t>
      </w:r>
      <w:r>
        <w:rPr>
          <w:rFonts w:hint="eastAsia" w:ascii="仿宋" w:hAnsi="仿宋" w:eastAsia="仿宋"/>
          <w:b/>
          <w:bCs/>
          <w:color w:val="333333"/>
          <w:sz w:val="32"/>
          <w:szCs w:val="32"/>
        </w:rPr>
        <w:t>沅江市</w:t>
      </w:r>
      <w:r>
        <w:rPr>
          <w:rFonts w:hint="eastAsia" w:ascii="仿宋" w:hAnsi="仿宋" w:eastAsia="仿宋"/>
          <w:b/>
          <w:bCs/>
          <w:color w:val="333333"/>
          <w:sz w:val="32"/>
          <w:szCs w:val="32"/>
          <w:lang w:eastAsia="zh-CN"/>
        </w:rPr>
        <w:t>住房保障服务中心</w:t>
      </w:r>
      <w:r>
        <w:rPr>
          <w:rFonts w:hint="eastAsia" w:ascii="仿宋" w:hAnsi="仿宋" w:eastAsia="仿宋"/>
          <w:b/>
          <w:bCs/>
          <w:color w:val="333333"/>
          <w:sz w:val="32"/>
          <w:szCs w:val="32"/>
        </w:rPr>
        <w:t>201</w:t>
      </w:r>
      <w:r>
        <w:rPr>
          <w:rFonts w:hint="eastAsia" w:ascii="仿宋" w:hAnsi="仿宋" w:eastAsia="仿宋"/>
          <w:b/>
          <w:bCs/>
          <w:color w:val="333333"/>
          <w:sz w:val="32"/>
          <w:szCs w:val="32"/>
          <w:lang w:val="en-US" w:eastAsia="zh-CN"/>
        </w:rPr>
        <w:t>9</w:t>
      </w:r>
      <w:r>
        <w:rPr>
          <w:rFonts w:hint="eastAsia" w:ascii="仿宋" w:hAnsi="仿宋" w:eastAsia="仿宋"/>
          <w:b/>
          <w:bCs/>
          <w:color w:val="333333"/>
          <w:sz w:val="32"/>
          <w:szCs w:val="32"/>
        </w:rPr>
        <w:t>年度部门决算情况说明</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收入支出决算总体情况</w:t>
      </w:r>
    </w:p>
    <w:p>
      <w:pPr>
        <w:autoSpaceDE w:val="0"/>
        <w:autoSpaceDN w:val="0"/>
        <w:adjustRightInd w:val="0"/>
        <w:spacing w:line="360" w:lineRule="auto"/>
        <w:ind w:firstLine="640"/>
        <w:rPr>
          <w:rFonts w:ascii="仿宋" w:hAnsi="Times New Roman" w:eastAsia="仿宋"/>
          <w:sz w:val="32"/>
          <w:szCs w:val="32"/>
        </w:rPr>
      </w:pPr>
      <w:r>
        <w:rPr>
          <w:rFonts w:hint="eastAsia" w:ascii="仿宋" w:hAnsi="Times New Roman" w:eastAsia="仿宋"/>
          <w:sz w:val="32"/>
          <w:szCs w:val="32"/>
        </w:rPr>
        <w:t>2019</w:t>
      </w:r>
      <w:r>
        <w:rPr>
          <w:rFonts w:hint="eastAsia" w:ascii="仿宋" w:hAnsi="仿宋" w:eastAsia="仿宋"/>
          <w:sz w:val="32"/>
          <w:szCs w:val="32"/>
        </w:rPr>
        <w:t>年，本部门年初预算收入</w:t>
      </w:r>
      <w:r>
        <w:rPr>
          <w:rFonts w:hint="eastAsia" w:ascii="仿宋" w:hAnsi="Times New Roman" w:eastAsia="仿宋"/>
          <w:sz w:val="28"/>
          <w:szCs w:val="28"/>
        </w:rPr>
        <w:t>2,648</w:t>
      </w:r>
      <w:r>
        <w:rPr>
          <w:rFonts w:hint="eastAsia" w:ascii="仿宋" w:hAnsi="仿宋" w:eastAsia="仿宋"/>
          <w:sz w:val="32"/>
          <w:szCs w:val="32"/>
        </w:rPr>
        <w:t>万元，比上年增减</w:t>
      </w:r>
      <w:r>
        <w:rPr>
          <w:rFonts w:hint="eastAsia" w:ascii="仿宋" w:hAnsi="Times New Roman" w:eastAsia="仿宋"/>
          <w:sz w:val="28"/>
          <w:szCs w:val="28"/>
        </w:rPr>
        <w:t>128</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5.07</w:t>
      </w:r>
      <w:r>
        <w:rPr>
          <w:rFonts w:hint="eastAsia" w:ascii="仿宋" w:hAnsi="Times New Roman" w:eastAsia="仿宋"/>
          <w:sz w:val="32"/>
          <w:szCs w:val="32"/>
        </w:rPr>
        <w:t>%,</w:t>
      </w:r>
      <w:r>
        <w:rPr>
          <w:rFonts w:hint="eastAsia" w:ascii="仿宋" w:hAnsi="仿宋" w:eastAsia="仿宋"/>
          <w:sz w:val="32"/>
          <w:szCs w:val="32"/>
        </w:rPr>
        <w:t>增减变化的主要原因是：其中：一般公共预算财政拨款收入年初预算</w:t>
      </w:r>
      <w:r>
        <w:rPr>
          <w:rFonts w:hint="eastAsia" w:ascii="仿宋" w:hAnsi="Times New Roman" w:eastAsia="仿宋"/>
          <w:sz w:val="28"/>
          <w:szCs w:val="28"/>
        </w:rPr>
        <w:t>2,648</w:t>
      </w:r>
      <w:r>
        <w:rPr>
          <w:rFonts w:hint="eastAsia" w:ascii="仿宋" w:hAnsi="仿宋" w:eastAsia="仿宋"/>
          <w:sz w:val="32"/>
          <w:szCs w:val="32"/>
        </w:rPr>
        <w:t>万元，比上年增减</w:t>
      </w:r>
      <w:r>
        <w:rPr>
          <w:rFonts w:hint="eastAsia" w:ascii="仿宋" w:hAnsi="Times New Roman" w:eastAsia="仿宋"/>
          <w:sz w:val="28"/>
          <w:szCs w:val="28"/>
        </w:rPr>
        <w:t>128</w:t>
      </w:r>
      <w:r>
        <w:rPr>
          <w:rFonts w:hint="eastAsia" w:ascii="仿宋" w:hAnsi="仿宋" w:eastAsia="仿宋"/>
          <w:sz w:val="32"/>
          <w:szCs w:val="32"/>
        </w:rPr>
        <w:t>万元；政府性基金预算财政拨款收入年初预算</w:t>
      </w:r>
      <w:r>
        <w:rPr>
          <w:rFonts w:hint="eastAsia" w:ascii="仿宋" w:hAnsi="Times New Roman" w:eastAsia="仿宋"/>
          <w:sz w:val="28"/>
          <w:szCs w:val="28"/>
        </w:rPr>
        <w:t>0</w:t>
      </w:r>
      <w:r>
        <w:rPr>
          <w:rFonts w:hint="eastAsia" w:ascii="仿宋" w:hAnsi="仿宋" w:eastAsia="仿宋"/>
          <w:sz w:val="32"/>
          <w:szCs w:val="32"/>
        </w:rPr>
        <w:t>万元；上级补助收入年初预算</w:t>
      </w:r>
      <w:r>
        <w:rPr>
          <w:rFonts w:hint="eastAsia" w:ascii="仿宋" w:hAnsi="Times New Roman" w:eastAsia="仿宋"/>
          <w:sz w:val="28"/>
          <w:szCs w:val="28"/>
        </w:rPr>
        <w:t>0</w:t>
      </w:r>
      <w:r>
        <w:rPr>
          <w:rFonts w:hint="eastAsia" w:ascii="仿宋" w:hAnsi="仿宋" w:eastAsia="仿宋"/>
          <w:sz w:val="32"/>
          <w:szCs w:val="32"/>
        </w:rPr>
        <w:t>万元；事业收入年初预算</w:t>
      </w:r>
      <w:r>
        <w:rPr>
          <w:rFonts w:hint="eastAsia" w:ascii="仿宋" w:hAnsi="Times New Roman" w:eastAsia="仿宋"/>
          <w:sz w:val="28"/>
          <w:szCs w:val="28"/>
        </w:rPr>
        <w:t>0</w:t>
      </w:r>
      <w:r>
        <w:rPr>
          <w:rFonts w:hint="eastAsia" w:ascii="仿宋" w:hAnsi="仿宋" w:eastAsia="仿宋"/>
          <w:sz w:val="32"/>
          <w:szCs w:val="32"/>
        </w:rPr>
        <w:t>万元；经营收入年初预算收入</w:t>
      </w:r>
      <w:r>
        <w:rPr>
          <w:rFonts w:hint="eastAsia" w:ascii="仿宋" w:hAnsi="Times New Roman" w:eastAsia="仿宋"/>
          <w:sz w:val="28"/>
          <w:szCs w:val="28"/>
        </w:rPr>
        <w:t>0</w:t>
      </w:r>
      <w:r>
        <w:rPr>
          <w:rFonts w:hint="eastAsia" w:ascii="仿宋" w:hAnsi="仿宋" w:eastAsia="仿宋"/>
          <w:sz w:val="32"/>
          <w:szCs w:val="32"/>
        </w:rPr>
        <w:t>万元；附属单位上缴收入年初预算收入</w:t>
      </w:r>
      <w:r>
        <w:rPr>
          <w:rFonts w:hint="eastAsia" w:ascii="仿宋" w:hAnsi="Times New Roman" w:eastAsia="仿宋"/>
          <w:sz w:val="28"/>
          <w:szCs w:val="28"/>
        </w:rPr>
        <w:t>0</w:t>
      </w:r>
      <w:r>
        <w:rPr>
          <w:rFonts w:hint="eastAsia" w:ascii="仿宋" w:hAnsi="仿宋" w:eastAsia="仿宋"/>
          <w:sz w:val="32"/>
          <w:szCs w:val="32"/>
        </w:rPr>
        <w:t>万元；其他收入年初预算收入</w:t>
      </w:r>
      <w:r>
        <w:rPr>
          <w:rFonts w:hint="eastAsia" w:ascii="仿宋" w:hAnsi="Times New Roman" w:eastAsia="仿宋"/>
          <w:sz w:val="28"/>
          <w:szCs w:val="28"/>
        </w:rPr>
        <w:t>0</w:t>
      </w:r>
      <w:r>
        <w:rPr>
          <w:rFonts w:hint="eastAsia" w:ascii="仿宋" w:hAnsi="仿宋" w:eastAsia="仿宋"/>
          <w:sz w:val="32"/>
          <w:szCs w:val="32"/>
        </w:rPr>
        <w:t>万元。年度执行中因单位人数变动及单位事权调整，预算跟随调整情况，主要变化是：收入调整预算数为</w:t>
      </w:r>
      <w:r>
        <w:rPr>
          <w:rFonts w:hint="eastAsia" w:ascii="仿宋" w:hAnsi="Times New Roman" w:eastAsia="仿宋"/>
          <w:sz w:val="32"/>
          <w:szCs w:val="32"/>
        </w:rPr>
        <w:t>3,053.5147</w:t>
      </w:r>
      <w:r>
        <w:rPr>
          <w:rFonts w:hint="eastAsia" w:ascii="仿宋" w:hAnsi="仿宋" w:eastAsia="仿宋"/>
          <w:sz w:val="32"/>
          <w:szCs w:val="32"/>
        </w:rPr>
        <w:t>万元，人员增加，收入增加。</w:t>
      </w:r>
    </w:p>
    <w:p>
      <w:pPr>
        <w:autoSpaceDE w:val="0"/>
        <w:autoSpaceDN w:val="0"/>
        <w:adjustRightInd w:val="0"/>
        <w:spacing w:line="520" w:lineRule="exact"/>
        <w:ind w:firstLine="640"/>
        <w:rPr>
          <w:rFonts w:hint="eastAsia" w:ascii="仿宋" w:hAnsi="Times New Roman" w:eastAsia="仿宋"/>
          <w:sz w:val="32"/>
          <w:szCs w:val="32"/>
        </w:rPr>
      </w:pPr>
      <w:r>
        <w:rPr>
          <w:rFonts w:hint="eastAsia" w:ascii="仿宋" w:hAnsi="Times New Roman" w:eastAsia="仿宋"/>
          <w:sz w:val="32"/>
          <w:szCs w:val="32"/>
        </w:rPr>
        <w:t>2019</w:t>
      </w:r>
      <w:r>
        <w:rPr>
          <w:rFonts w:hint="eastAsia" w:ascii="仿宋" w:hAnsi="仿宋" w:eastAsia="仿宋"/>
          <w:sz w:val="32"/>
          <w:szCs w:val="32"/>
        </w:rPr>
        <w:t>年，本部门年初预算支出</w:t>
      </w:r>
      <w:r>
        <w:rPr>
          <w:rFonts w:hint="eastAsia" w:ascii="仿宋" w:hAnsi="Times New Roman" w:eastAsia="仿宋"/>
          <w:sz w:val="28"/>
          <w:szCs w:val="28"/>
        </w:rPr>
        <w:t>2,648</w:t>
      </w:r>
      <w:r>
        <w:rPr>
          <w:rFonts w:hint="eastAsia" w:ascii="仿宋" w:hAnsi="仿宋" w:eastAsia="仿宋"/>
          <w:sz w:val="32"/>
          <w:szCs w:val="32"/>
        </w:rPr>
        <w:t>万元，比上年增减</w:t>
      </w:r>
      <w:r>
        <w:rPr>
          <w:rFonts w:hint="eastAsia" w:ascii="仿宋" w:hAnsi="Times New Roman" w:eastAsia="仿宋"/>
          <w:sz w:val="28"/>
          <w:szCs w:val="28"/>
        </w:rPr>
        <w:t>128</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5.07</w:t>
      </w:r>
      <w:r>
        <w:rPr>
          <w:rFonts w:hint="eastAsia" w:ascii="仿宋" w:hAnsi="Times New Roman" w:eastAsia="仿宋"/>
          <w:sz w:val="32"/>
          <w:szCs w:val="32"/>
        </w:rPr>
        <w:t>%</w:t>
      </w:r>
      <w:r>
        <w:rPr>
          <w:rFonts w:hint="eastAsia" w:ascii="仿宋" w:hAnsi="仿宋" w:eastAsia="仿宋"/>
          <w:sz w:val="32"/>
          <w:szCs w:val="32"/>
        </w:rPr>
        <w:t>，增减变化的主要原因是：其中：基本支出年初预算</w:t>
      </w:r>
      <w:r>
        <w:rPr>
          <w:rFonts w:hint="eastAsia" w:ascii="仿宋" w:hAnsi="Times New Roman" w:eastAsia="仿宋"/>
          <w:sz w:val="28"/>
          <w:szCs w:val="28"/>
        </w:rPr>
        <w:t>2,249</w:t>
      </w:r>
      <w:r>
        <w:rPr>
          <w:rFonts w:hint="eastAsia" w:ascii="仿宋" w:hAnsi="仿宋" w:eastAsia="仿宋"/>
          <w:sz w:val="32"/>
          <w:szCs w:val="32"/>
        </w:rPr>
        <w:t>万元，比上年增减</w:t>
      </w:r>
      <w:r>
        <w:rPr>
          <w:rFonts w:hint="eastAsia" w:ascii="仿宋" w:hAnsi="Times New Roman" w:eastAsia="仿宋"/>
          <w:sz w:val="28"/>
          <w:szCs w:val="28"/>
        </w:rPr>
        <w:t>191</w:t>
      </w:r>
      <w:r>
        <w:rPr>
          <w:rFonts w:hint="eastAsia" w:ascii="仿宋" w:hAnsi="仿宋" w:eastAsia="仿宋"/>
          <w:sz w:val="32"/>
          <w:szCs w:val="32"/>
        </w:rPr>
        <w:t>万元，增长</w:t>
      </w:r>
      <w:r>
        <w:rPr>
          <w:rFonts w:hint="eastAsia" w:ascii="仿宋" w:hAnsi="Times New Roman" w:eastAsia="仿宋"/>
          <w:sz w:val="28"/>
          <w:szCs w:val="28"/>
        </w:rPr>
        <w:t>8</w:t>
      </w:r>
      <w:r>
        <w:rPr>
          <w:rFonts w:hint="eastAsia" w:ascii="仿宋" w:hAnsi="Times New Roman" w:eastAsia="仿宋"/>
          <w:sz w:val="32"/>
          <w:szCs w:val="32"/>
        </w:rPr>
        <w:t>%</w:t>
      </w:r>
      <w:r>
        <w:rPr>
          <w:rFonts w:hint="eastAsia" w:ascii="仿宋" w:hAnsi="仿宋" w:eastAsia="仿宋"/>
          <w:sz w:val="32"/>
          <w:szCs w:val="32"/>
        </w:rPr>
        <w:t>；项目支出年初预算</w:t>
      </w:r>
      <w:r>
        <w:rPr>
          <w:rFonts w:hint="eastAsia" w:ascii="仿宋" w:hAnsi="Times New Roman" w:eastAsia="仿宋"/>
          <w:sz w:val="28"/>
          <w:szCs w:val="28"/>
        </w:rPr>
        <w:t>399</w:t>
      </w:r>
      <w:r>
        <w:rPr>
          <w:rFonts w:hint="eastAsia" w:ascii="仿宋" w:hAnsi="仿宋" w:eastAsia="仿宋"/>
          <w:sz w:val="32"/>
          <w:szCs w:val="32"/>
        </w:rPr>
        <w:t>万元，比上年增减</w:t>
      </w:r>
      <w:r>
        <w:rPr>
          <w:rFonts w:hint="eastAsia" w:ascii="仿宋" w:hAnsi="Times New Roman" w:eastAsia="仿宋"/>
          <w:sz w:val="28"/>
          <w:szCs w:val="28"/>
        </w:rPr>
        <w:t>-63</w:t>
      </w:r>
      <w:r>
        <w:rPr>
          <w:rFonts w:hint="eastAsia" w:ascii="仿宋" w:hAnsi="仿宋" w:eastAsia="仿宋"/>
          <w:sz w:val="32"/>
          <w:szCs w:val="32"/>
        </w:rPr>
        <w:t>万元，下降</w:t>
      </w:r>
      <w:r>
        <w:rPr>
          <w:rFonts w:hint="eastAsia" w:ascii="仿宋" w:hAnsi="Times New Roman" w:eastAsia="仿宋"/>
          <w:sz w:val="32"/>
          <w:szCs w:val="32"/>
        </w:rPr>
        <w:t>15.8%</w:t>
      </w:r>
      <w:r>
        <w:rPr>
          <w:rFonts w:hint="eastAsia" w:ascii="仿宋" w:hAnsi="仿宋" w:eastAsia="仿宋"/>
          <w:sz w:val="32"/>
          <w:szCs w:val="32"/>
        </w:rPr>
        <w:t>。年度执行中因单位人数变动及单位事权调整，预算跟随调整情况，主要变化是：人员增加，社会保障费、公用经费等费用增加。</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二、收入决算情况说明</w:t>
      </w:r>
    </w:p>
    <w:p>
      <w:pPr>
        <w:autoSpaceDE w:val="0"/>
        <w:autoSpaceDN w:val="0"/>
        <w:adjustRightInd w:val="0"/>
        <w:spacing w:line="520" w:lineRule="exact"/>
        <w:ind w:firstLine="640"/>
        <w:rPr>
          <w:rFonts w:ascii="仿宋" w:hAnsi="Times New Roman" w:eastAsia="仿宋"/>
          <w:sz w:val="32"/>
          <w:szCs w:val="32"/>
        </w:rPr>
      </w:pPr>
      <w:r>
        <w:rPr>
          <w:rFonts w:hint="eastAsia" w:ascii="仿宋" w:hAnsi="Times New Roman" w:eastAsia="仿宋"/>
          <w:sz w:val="32"/>
          <w:szCs w:val="32"/>
        </w:rPr>
        <w:t>2019</w:t>
      </w:r>
      <w:r>
        <w:rPr>
          <w:rFonts w:hint="eastAsia" w:ascii="仿宋" w:hAnsi="仿宋" w:eastAsia="仿宋"/>
          <w:sz w:val="32"/>
          <w:szCs w:val="32"/>
        </w:rPr>
        <w:t>年收入实际完成</w:t>
      </w:r>
      <w:r>
        <w:rPr>
          <w:rFonts w:hint="eastAsia" w:ascii="仿宋" w:hAnsi="Times New Roman" w:eastAsia="仿宋"/>
          <w:sz w:val="28"/>
          <w:szCs w:val="28"/>
        </w:rPr>
        <w:t>3,054</w:t>
      </w:r>
      <w:r>
        <w:rPr>
          <w:rFonts w:hint="eastAsia" w:ascii="仿宋" w:hAnsi="仿宋" w:eastAsia="仿宋"/>
          <w:sz w:val="32"/>
          <w:szCs w:val="32"/>
        </w:rPr>
        <w:t>万元，比上年增减</w:t>
      </w:r>
      <w:r>
        <w:rPr>
          <w:rFonts w:hint="eastAsia" w:ascii="仿宋" w:hAnsi="Times New Roman" w:eastAsia="仿宋"/>
          <w:sz w:val="28"/>
          <w:szCs w:val="28"/>
        </w:rPr>
        <w:t>578</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23.33</w:t>
      </w:r>
      <w:r>
        <w:rPr>
          <w:rFonts w:hint="eastAsia" w:ascii="仿宋" w:hAnsi="Times New Roman" w:eastAsia="仿宋"/>
          <w:sz w:val="32"/>
          <w:szCs w:val="32"/>
        </w:rPr>
        <w:t>%</w:t>
      </w:r>
      <w:r>
        <w:rPr>
          <w:rFonts w:hint="eastAsia" w:ascii="仿宋" w:hAnsi="仿宋" w:eastAsia="仿宋"/>
          <w:sz w:val="32"/>
          <w:szCs w:val="32"/>
        </w:rPr>
        <w:t>。主要原因是：</w:t>
      </w:r>
      <w:r>
        <w:rPr>
          <w:rFonts w:hint="eastAsia" w:ascii="仿宋" w:hAnsi="仿宋" w:eastAsia="仿宋"/>
          <w:sz w:val="28"/>
          <w:szCs w:val="28"/>
        </w:rPr>
        <w:t>人员调资</w:t>
      </w:r>
      <w:r>
        <w:rPr>
          <w:rFonts w:hint="eastAsia" w:ascii="仿宋" w:hAnsi="仿宋" w:eastAsia="仿宋"/>
          <w:sz w:val="32"/>
          <w:szCs w:val="32"/>
        </w:rPr>
        <w:t>。其中：一般公共预算财政拨款收入完成</w:t>
      </w:r>
      <w:r>
        <w:rPr>
          <w:rFonts w:hint="eastAsia" w:ascii="仿宋" w:hAnsi="Times New Roman" w:eastAsia="仿宋"/>
          <w:sz w:val="28"/>
          <w:szCs w:val="28"/>
        </w:rPr>
        <w:t>3,053</w:t>
      </w:r>
      <w:r>
        <w:rPr>
          <w:rFonts w:hint="eastAsia" w:ascii="仿宋" w:hAnsi="仿宋" w:eastAsia="仿宋"/>
          <w:sz w:val="32"/>
          <w:szCs w:val="32"/>
        </w:rPr>
        <w:t>万元，比上年</w:t>
      </w:r>
      <w:r>
        <w:rPr>
          <w:rFonts w:hint="eastAsia" w:ascii="仿宋" w:hAnsi="Times New Roman" w:eastAsia="仿宋"/>
          <w:sz w:val="28"/>
          <w:szCs w:val="28"/>
        </w:rPr>
        <w:t>582</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0</w:t>
      </w:r>
      <w:r>
        <w:rPr>
          <w:rFonts w:hint="eastAsia" w:ascii="仿宋" w:hAnsi="Times New Roman" w:eastAsia="仿宋"/>
          <w:sz w:val="32"/>
          <w:szCs w:val="32"/>
        </w:rPr>
        <w:t>%</w:t>
      </w:r>
      <w:r>
        <w:rPr>
          <w:rFonts w:hint="eastAsia" w:ascii="仿宋" w:hAnsi="仿宋" w:eastAsia="仿宋"/>
          <w:sz w:val="32"/>
          <w:szCs w:val="32"/>
        </w:rPr>
        <w:t>，变化的主要原因是：</w:t>
      </w:r>
      <w:r>
        <w:rPr>
          <w:rFonts w:hint="eastAsia" w:ascii="仿宋" w:hAnsi="仿宋" w:eastAsia="仿宋"/>
          <w:sz w:val="28"/>
          <w:szCs w:val="28"/>
        </w:rPr>
        <w:t>人员调资</w:t>
      </w:r>
      <w:r>
        <w:rPr>
          <w:rFonts w:hint="eastAsia" w:ascii="仿宋" w:hAnsi="仿宋" w:eastAsia="仿宋"/>
          <w:sz w:val="32"/>
          <w:szCs w:val="32"/>
        </w:rPr>
        <w:t>；政府性基金财政拨款收入完成</w:t>
      </w:r>
      <w:r>
        <w:rPr>
          <w:rFonts w:hint="eastAsia" w:ascii="仿宋" w:hAnsi="Times New Roman" w:eastAsia="仿宋"/>
          <w:sz w:val="28"/>
          <w:szCs w:val="28"/>
        </w:rPr>
        <w:t>0</w:t>
      </w:r>
      <w:r>
        <w:rPr>
          <w:rFonts w:hint="eastAsia" w:ascii="仿宋" w:hAnsi="仿宋" w:eastAsia="仿宋"/>
          <w:sz w:val="32"/>
          <w:szCs w:val="32"/>
        </w:rPr>
        <w:t>万元，比上年</w:t>
      </w:r>
      <w:r>
        <w:rPr>
          <w:rFonts w:hint="eastAsia" w:ascii="仿宋" w:hAnsi="Times New Roman" w:eastAsia="仿宋"/>
          <w:sz w:val="28"/>
          <w:szCs w:val="28"/>
        </w:rPr>
        <w:t>0</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0</w:t>
      </w:r>
      <w:r>
        <w:rPr>
          <w:rFonts w:hint="eastAsia" w:ascii="仿宋" w:hAnsi="Times New Roman" w:eastAsia="仿宋"/>
          <w:sz w:val="32"/>
          <w:szCs w:val="32"/>
        </w:rPr>
        <w:t>%</w:t>
      </w:r>
      <w:r>
        <w:rPr>
          <w:rFonts w:hint="eastAsia" w:ascii="仿宋" w:hAnsi="仿宋" w:eastAsia="仿宋"/>
          <w:sz w:val="32"/>
          <w:szCs w:val="32"/>
        </w:rPr>
        <w:t>，变化的主要原因是：上级补助收入完成</w:t>
      </w:r>
      <w:r>
        <w:rPr>
          <w:rFonts w:hint="eastAsia" w:ascii="仿宋" w:hAnsi="Times New Roman" w:eastAsia="仿宋"/>
          <w:sz w:val="28"/>
          <w:szCs w:val="28"/>
        </w:rPr>
        <w:t>0</w:t>
      </w:r>
      <w:r>
        <w:rPr>
          <w:rFonts w:hint="eastAsia" w:ascii="仿宋" w:hAnsi="仿宋" w:eastAsia="仿宋"/>
          <w:sz w:val="32"/>
          <w:szCs w:val="32"/>
        </w:rPr>
        <w:t>万元，比上年</w:t>
      </w:r>
      <w:r>
        <w:rPr>
          <w:rFonts w:hint="eastAsia" w:ascii="仿宋" w:hAnsi="Times New Roman" w:eastAsia="仿宋"/>
          <w:sz w:val="28"/>
          <w:szCs w:val="28"/>
        </w:rPr>
        <w:t>0</w:t>
      </w:r>
      <w:r>
        <w:rPr>
          <w:rFonts w:hint="eastAsia" w:ascii="仿宋" w:hAnsi="仿宋" w:eastAsia="仿宋"/>
          <w:sz w:val="32"/>
          <w:szCs w:val="32"/>
        </w:rPr>
        <w:t>万元；事业收入完成</w:t>
      </w:r>
      <w:r>
        <w:rPr>
          <w:rFonts w:hint="eastAsia" w:ascii="仿宋" w:hAnsi="Times New Roman" w:eastAsia="仿宋"/>
          <w:sz w:val="28"/>
          <w:szCs w:val="28"/>
        </w:rPr>
        <w:t>0</w:t>
      </w:r>
      <w:r>
        <w:rPr>
          <w:rFonts w:hint="eastAsia" w:ascii="仿宋" w:hAnsi="仿宋" w:eastAsia="仿宋"/>
          <w:sz w:val="32"/>
          <w:szCs w:val="32"/>
        </w:rPr>
        <w:t>万元，比上年</w:t>
      </w:r>
      <w:r>
        <w:rPr>
          <w:rFonts w:hint="eastAsia" w:ascii="仿宋" w:hAnsi="Times New Roman" w:eastAsia="仿宋"/>
          <w:sz w:val="28"/>
          <w:szCs w:val="28"/>
        </w:rPr>
        <w:t>0</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0</w:t>
      </w:r>
      <w:r>
        <w:rPr>
          <w:rFonts w:hint="eastAsia" w:ascii="仿宋" w:hAnsi="Times New Roman" w:eastAsia="仿宋"/>
          <w:sz w:val="32"/>
          <w:szCs w:val="32"/>
        </w:rPr>
        <w:t>%</w:t>
      </w:r>
      <w:r>
        <w:rPr>
          <w:rFonts w:hint="eastAsia" w:ascii="仿宋" w:hAnsi="仿宋" w:eastAsia="仿宋"/>
          <w:sz w:val="32"/>
          <w:szCs w:val="32"/>
        </w:rPr>
        <w:t>，变化的主要原因是：经营收入完成</w:t>
      </w:r>
      <w:r>
        <w:rPr>
          <w:rFonts w:hint="eastAsia" w:ascii="仿宋" w:hAnsi="Times New Roman" w:eastAsia="仿宋"/>
          <w:sz w:val="28"/>
          <w:szCs w:val="28"/>
        </w:rPr>
        <w:t>0</w:t>
      </w:r>
      <w:r>
        <w:rPr>
          <w:rFonts w:hint="eastAsia" w:ascii="仿宋" w:hAnsi="仿宋" w:eastAsia="仿宋"/>
          <w:sz w:val="32"/>
          <w:szCs w:val="32"/>
        </w:rPr>
        <w:t>万元，比上年</w:t>
      </w:r>
      <w:r>
        <w:rPr>
          <w:rFonts w:hint="eastAsia" w:ascii="仿宋" w:hAnsi="Times New Roman" w:eastAsia="仿宋"/>
          <w:sz w:val="28"/>
          <w:szCs w:val="28"/>
        </w:rPr>
        <w:t>0</w:t>
      </w:r>
      <w:r>
        <w:rPr>
          <w:rFonts w:hint="eastAsia" w:ascii="仿宋" w:hAnsi="仿宋" w:eastAsia="仿宋"/>
          <w:sz w:val="32"/>
          <w:szCs w:val="32"/>
        </w:rPr>
        <w:t>万元</w:t>
      </w:r>
      <w:r>
        <w:rPr>
          <w:rFonts w:hint="eastAsia" w:ascii="仿宋" w:hAnsi="Times New Roman" w:eastAsia="仿宋"/>
          <w:sz w:val="32"/>
          <w:szCs w:val="32"/>
        </w:rPr>
        <w:t>,</w:t>
      </w:r>
      <w:r>
        <w:rPr>
          <w:rFonts w:hint="eastAsia" w:ascii="仿宋" w:hAnsi="仿宋" w:eastAsia="仿宋"/>
          <w:sz w:val="32"/>
          <w:szCs w:val="32"/>
        </w:rPr>
        <w:t>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0</w:t>
      </w:r>
      <w:r>
        <w:rPr>
          <w:rFonts w:hint="eastAsia" w:ascii="仿宋" w:hAnsi="Times New Roman" w:eastAsia="仿宋"/>
          <w:sz w:val="32"/>
          <w:szCs w:val="32"/>
        </w:rPr>
        <w:t>%</w:t>
      </w:r>
      <w:r>
        <w:rPr>
          <w:rFonts w:hint="eastAsia" w:ascii="仿宋" w:hAnsi="仿宋" w:eastAsia="仿宋"/>
          <w:sz w:val="32"/>
          <w:szCs w:val="32"/>
        </w:rPr>
        <w:t>，变化的主要原因是：附属单位上缴收入完成</w:t>
      </w:r>
      <w:r>
        <w:rPr>
          <w:rFonts w:hint="eastAsia" w:ascii="仿宋" w:hAnsi="Times New Roman" w:eastAsia="仿宋"/>
          <w:sz w:val="28"/>
          <w:szCs w:val="28"/>
        </w:rPr>
        <w:t>0</w:t>
      </w:r>
      <w:r>
        <w:rPr>
          <w:rFonts w:hint="eastAsia" w:ascii="仿宋" w:hAnsi="仿宋" w:eastAsia="仿宋"/>
          <w:sz w:val="32"/>
          <w:szCs w:val="32"/>
        </w:rPr>
        <w:t>万元，比上年</w:t>
      </w:r>
      <w:r>
        <w:rPr>
          <w:rFonts w:hint="eastAsia" w:ascii="仿宋" w:hAnsi="Times New Roman" w:eastAsia="仿宋"/>
          <w:sz w:val="28"/>
          <w:szCs w:val="28"/>
        </w:rPr>
        <w:t>0</w:t>
      </w:r>
      <w:r>
        <w:rPr>
          <w:rFonts w:hint="eastAsia" w:ascii="仿宋" w:hAnsi="仿宋" w:eastAsia="仿宋"/>
          <w:sz w:val="32"/>
          <w:szCs w:val="32"/>
        </w:rPr>
        <w:t>万元；其他收入完成</w:t>
      </w:r>
      <w:r>
        <w:rPr>
          <w:rFonts w:hint="eastAsia" w:ascii="仿宋" w:hAnsi="Times New Roman" w:eastAsia="仿宋"/>
          <w:sz w:val="28"/>
          <w:szCs w:val="28"/>
        </w:rPr>
        <w:t>1</w:t>
      </w:r>
      <w:r>
        <w:rPr>
          <w:rFonts w:hint="eastAsia" w:ascii="仿宋" w:hAnsi="仿宋" w:eastAsia="仿宋"/>
          <w:sz w:val="32"/>
          <w:szCs w:val="32"/>
        </w:rPr>
        <w:t>万元，比上年</w:t>
      </w:r>
      <w:r>
        <w:rPr>
          <w:rFonts w:hint="eastAsia" w:ascii="仿宋" w:hAnsi="Times New Roman" w:eastAsia="仿宋"/>
          <w:sz w:val="28"/>
          <w:szCs w:val="28"/>
        </w:rPr>
        <w:t>-4</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-87.06</w:t>
      </w:r>
      <w:r>
        <w:rPr>
          <w:rFonts w:hint="eastAsia" w:ascii="仿宋" w:hAnsi="Times New Roman" w:eastAsia="仿宋"/>
          <w:sz w:val="32"/>
          <w:szCs w:val="32"/>
        </w:rPr>
        <w:t>%</w:t>
      </w:r>
      <w:r>
        <w:rPr>
          <w:rFonts w:hint="eastAsia" w:ascii="仿宋" w:hAnsi="仿宋" w:eastAsia="仿宋"/>
          <w:sz w:val="32"/>
          <w:szCs w:val="32"/>
        </w:rPr>
        <w:t>，变化的主要原因是：</w:t>
      </w:r>
      <w:r>
        <w:rPr>
          <w:rFonts w:hint="eastAsia" w:ascii="仿宋" w:hAnsi="仿宋" w:eastAsia="仿宋"/>
          <w:sz w:val="28"/>
          <w:szCs w:val="28"/>
        </w:rPr>
        <w:t>其他收入减少</w:t>
      </w:r>
      <w:r>
        <w:rPr>
          <w:rFonts w:hint="eastAsia" w:ascii="仿宋" w:hAnsi="仿宋" w:eastAsia="仿宋"/>
          <w:sz w:val="32"/>
          <w:szCs w:val="32"/>
        </w:rPr>
        <w:t>。</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三、支出决算情况说明</w:t>
      </w:r>
    </w:p>
    <w:p>
      <w:pPr>
        <w:autoSpaceDE w:val="0"/>
        <w:autoSpaceDN w:val="0"/>
        <w:adjustRightInd w:val="0"/>
        <w:spacing w:line="520" w:lineRule="exact"/>
        <w:ind w:firstLine="643"/>
        <w:rPr>
          <w:rFonts w:hint="eastAsia" w:ascii="仿宋" w:hAnsi="Times New Roman" w:eastAsia="仿宋"/>
          <w:sz w:val="28"/>
          <w:szCs w:val="28"/>
        </w:rPr>
      </w:pPr>
      <w:r>
        <w:rPr>
          <w:rFonts w:hint="eastAsia" w:ascii="仿宋" w:hAnsi="Times New Roman" w:eastAsia="仿宋"/>
          <w:sz w:val="32"/>
          <w:szCs w:val="32"/>
        </w:rPr>
        <w:t>2019</w:t>
      </w:r>
      <w:r>
        <w:rPr>
          <w:rFonts w:hint="eastAsia" w:ascii="仿宋" w:hAnsi="仿宋" w:eastAsia="仿宋"/>
          <w:sz w:val="32"/>
          <w:szCs w:val="32"/>
        </w:rPr>
        <w:t>年，本部门支出</w:t>
      </w:r>
      <w:r>
        <w:rPr>
          <w:rFonts w:hint="eastAsia" w:ascii="仿宋" w:hAnsi="Times New Roman" w:eastAsia="仿宋"/>
          <w:sz w:val="28"/>
          <w:szCs w:val="28"/>
        </w:rPr>
        <w:t>3,100</w:t>
      </w:r>
      <w:r>
        <w:rPr>
          <w:rFonts w:hint="eastAsia" w:ascii="仿宋" w:hAnsi="仿宋" w:eastAsia="仿宋"/>
          <w:sz w:val="32"/>
          <w:szCs w:val="32"/>
        </w:rPr>
        <w:t>万元，比上年增减</w:t>
      </w:r>
      <w:r>
        <w:rPr>
          <w:rFonts w:hint="eastAsia" w:ascii="仿宋" w:hAnsi="Times New Roman" w:eastAsia="仿宋"/>
          <w:sz w:val="28"/>
          <w:szCs w:val="28"/>
        </w:rPr>
        <w:t>145</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4.9</w:t>
      </w:r>
      <w:r>
        <w:rPr>
          <w:rFonts w:hint="eastAsia" w:ascii="仿宋" w:hAnsi="Times New Roman" w:eastAsia="仿宋"/>
          <w:sz w:val="32"/>
          <w:szCs w:val="32"/>
        </w:rPr>
        <w:t>%</w:t>
      </w:r>
      <w:r>
        <w:rPr>
          <w:rFonts w:hint="eastAsia" w:ascii="仿宋" w:hAnsi="仿宋" w:eastAsia="仿宋"/>
          <w:sz w:val="32"/>
          <w:szCs w:val="32"/>
        </w:rPr>
        <w:t>；变化的主要原因：</w:t>
      </w:r>
      <w:r>
        <w:rPr>
          <w:rFonts w:hint="eastAsia" w:ascii="仿宋" w:hAnsi="仿宋" w:eastAsia="仿宋"/>
          <w:sz w:val="28"/>
          <w:szCs w:val="28"/>
        </w:rPr>
        <w:t>项目资金增加</w:t>
      </w:r>
      <w:r>
        <w:rPr>
          <w:rFonts w:hint="eastAsia" w:ascii="仿宋" w:hAnsi="仿宋" w:eastAsia="仿宋"/>
          <w:sz w:val="32"/>
          <w:szCs w:val="32"/>
        </w:rPr>
        <w:t>。其中：基本支出完成</w:t>
      </w:r>
      <w:r>
        <w:rPr>
          <w:rFonts w:hint="eastAsia" w:ascii="仿宋" w:hAnsi="Times New Roman" w:eastAsia="仿宋"/>
          <w:sz w:val="28"/>
          <w:szCs w:val="28"/>
        </w:rPr>
        <w:t>2,885</w:t>
      </w:r>
      <w:r>
        <w:rPr>
          <w:rFonts w:hint="eastAsia" w:ascii="仿宋" w:hAnsi="仿宋" w:eastAsia="仿宋"/>
          <w:sz w:val="32"/>
          <w:szCs w:val="32"/>
        </w:rPr>
        <w:t>万元，比上年增减</w:t>
      </w:r>
      <w:r>
        <w:rPr>
          <w:rFonts w:hint="eastAsia" w:ascii="仿宋" w:hAnsi="Times New Roman" w:eastAsia="仿宋"/>
          <w:sz w:val="28"/>
          <w:szCs w:val="28"/>
        </w:rPr>
        <w:t>127</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4.62%</w:t>
      </w:r>
      <w:r>
        <w:rPr>
          <w:rFonts w:hint="eastAsia" w:ascii="仿宋" w:hAnsi="仿宋" w:eastAsia="仿宋"/>
          <w:sz w:val="28"/>
          <w:szCs w:val="28"/>
        </w:rPr>
        <w:t>，</w:t>
      </w:r>
      <w:r>
        <w:rPr>
          <w:rFonts w:hint="eastAsia" w:ascii="仿宋" w:hAnsi="仿宋" w:eastAsia="仿宋"/>
          <w:sz w:val="32"/>
          <w:szCs w:val="32"/>
        </w:rPr>
        <w:t>变化的主要原因：</w:t>
      </w:r>
      <w:r>
        <w:rPr>
          <w:rFonts w:hint="eastAsia" w:ascii="仿宋" w:hAnsi="仿宋" w:eastAsia="仿宋"/>
          <w:sz w:val="28"/>
          <w:szCs w:val="28"/>
        </w:rPr>
        <w:t>人员调资</w:t>
      </w:r>
      <w:r>
        <w:rPr>
          <w:rFonts w:hint="eastAsia" w:ascii="仿宋" w:hAnsi="仿宋" w:eastAsia="仿宋"/>
          <w:sz w:val="32"/>
          <w:szCs w:val="32"/>
        </w:rPr>
        <w:t>。项目支出</w:t>
      </w:r>
      <w:r>
        <w:rPr>
          <w:rFonts w:hint="eastAsia" w:ascii="仿宋" w:hAnsi="Times New Roman" w:eastAsia="仿宋"/>
          <w:sz w:val="28"/>
          <w:szCs w:val="28"/>
        </w:rPr>
        <w:t>214</w:t>
      </w:r>
      <w:r>
        <w:rPr>
          <w:rFonts w:hint="eastAsia" w:ascii="仿宋" w:hAnsi="仿宋" w:eastAsia="仿宋"/>
          <w:sz w:val="32"/>
          <w:szCs w:val="32"/>
        </w:rPr>
        <w:t>万元，比上年增减</w:t>
      </w:r>
      <w:r>
        <w:rPr>
          <w:rFonts w:hint="eastAsia" w:ascii="仿宋" w:hAnsi="Times New Roman" w:eastAsia="仿宋"/>
          <w:sz w:val="28"/>
          <w:szCs w:val="28"/>
        </w:rPr>
        <w:t>17</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8.85%</w:t>
      </w:r>
      <w:r>
        <w:rPr>
          <w:rFonts w:hint="eastAsia" w:ascii="仿宋" w:hAnsi="仿宋" w:eastAsia="仿宋"/>
          <w:sz w:val="32"/>
          <w:szCs w:val="32"/>
        </w:rPr>
        <w:t>；变化的主要原因：</w:t>
      </w:r>
      <w:r>
        <w:rPr>
          <w:rFonts w:hint="eastAsia" w:ascii="仿宋" w:hAnsi="仿宋" w:eastAsia="仿宋"/>
          <w:sz w:val="28"/>
          <w:szCs w:val="28"/>
        </w:rPr>
        <w:t>项目增加</w:t>
      </w:r>
      <w:r>
        <w:rPr>
          <w:rFonts w:hint="eastAsia" w:ascii="仿宋" w:hAnsi="仿宋" w:eastAsia="仿宋"/>
          <w:sz w:val="32"/>
          <w:szCs w:val="32"/>
        </w:rPr>
        <w:t>。人员经费完成</w:t>
      </w:r>
      <w:r>
        <w:rPr>
          <w:rFonts w:hint="eastAsia" w:ascii="仿宋" w:hAnsi="Times New Roman" w:eastAsia="仿宋"/>
          <w:sz w:val="28"/>
          <w:szCs w:val="28"/>
        </w:rPr>
        <w:t>2,647</w:t>
      </w:r>
      <w:r>
        <w:rPr>
          <w:rFonts w:hint="eastAsia" w:ascii="仿宋" w:hAnsi="仿宋" w:eastAsia="仿宋"/>
          <w:sz w:val="28"/>
          <w:szCs w:val="28"/>
        </w:rPr>
        <w:t>万</w:t>
      </w:r>
      <w:r>
        <w:rPr>
          <w:rFonts w:hint="eastAsia" w:ascii="仿宋" w:hAnsi="仿宋" w:eastAsia="仿宋"/>
          <w:sz w:val="32"/>
          <w:szCs w:val="32"/>
        </w:rPr>
        <w:t>元，比上年增减</w:t>
      </w:r>
      <w:r>
        <w:rPr>
          <w:rFonts w:hint="eastAsia" w:ascii="仿宋" w:hAnsi="Times New Roman" w:eastAsia="仿宋"/>
          <w:sz w:val="28"/>
          <w:szCs w:val="28"/>
        </w:rPr>
        <w:t>212</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8.71%</w:t>
      </w:r>
      <w:r>
        <w:rPr>
          <w:rFonts w:hint="eastAsia" w:ascii="仿宋" w:hAnsi="仿宋" w:eastAsia="仿宋"/>
          <w:sz w:val="28"/>
          <w:szCs w:val="28"/>
        </w:rPr>
        <w:t>，</w:t>
      </w:r>
      <w:r>
        <w:rPr>
          <w:rFonts w:hint="eastAsia" w:ascii="仿宋" w:hAnsi="仿宋" w:eastAsia="仿宋"/>
          <w:sz w:val="32"/>
          <w:szCs w:val="32"/>
        </w:rPr>
        <w:t>变化的主要原因：</w:t>
      </w:r>
      <w:r>
        <w:rPr>
          <w:rFonts w:hint="eastAsia" w:ascii="仿宋" w:hAnsi="仿宋" w:eastAsia="仿宋"/>
          <w:sz w:val="28"/>
          <w:szCs w:val="28"/>
        </w:rPr>
        <w:t>人员调资</w:t>
      </w:r>
      <w:r>
        <w:rPr>
          <w:rFonts w:hint="eastAsia" w:ascii="仿宋" w:hAnsi="仿宋" w:eastAsia="仿宋"/>
          <w:sz w:val="32"/>
          <w:szCs w:val="32"/>
        </w:rPr>
        <w:t>；公用经费完成</w:t>
      </w:r>
      <w:r>
        <w:rPr>
          <w:rFonts w:hint="eastAsia" w:ascii="仿宋" w:hAnsi="Times New Roman" w:eastAsia="仿宋"/>
          <w:sz w:val="28"/>
          <w:szCs w:val="28"/>
        </w:rPr>
        <w:t>238</w:t>
      </w:r>
      <w:r>
        <w:rPr>
          <w:rFonts w:hint="eastAsia" w:ascii="仿宋" w:hAnsi="仿宋" w:eastAsia="仿宋"/>
          <w:sz w:val="32"/>
          <w:szCs w:val="32"/>
        </w:rPr>
        <w:t>万元，比上年增减</w:t>
      </w:r>
      <w:r>
        <w:rPr>
          <w:rFonts w:hint="eastAsia" w:ascii="仿宋" w:hAnsi="Times New Roman" w:eastAsia="仿宋"/>
          <w:sz w:val="28"/>
          <w:szCs w:val="28"/>
        </w:rPr>
        <w:t>-85</w:t>
      </w:r>
      <w:r>
        <w:rPr>
          <w:rFonts w:hint="eastAsia" w:ascii="仿宋" w:hAnsi="仿宋" w:eastAsia="仿宋"/>
          <w:sz w:val="32"/>
          <w:szCs w:val="32"/>
        </w:rPr>
        <w:t>万元，增长</w:t>
      </w:r>
      <w:r>
        <w:rPr>
          <w:rFonts w:hint="eastAsia" w:ascii="仿宋" w:hAnsi="Times New Roman" w:eastAsia="仿宋"/>
          <w:sz w:val="32"/>
          <w:szCs w:val="32"/>
        </w:rPr>
        <w:t>(</w:t>
      </w:r>
      <w:r>
        <w:rPr>
          <w:rFonts w:hint="eastAsia" w:ascii="仿宋" w:hAnsi="仿宋" w:eastAsia="仿宋"/>
          <w:sz w:val="32"/>
          <w:szCs w:val="32"/>
        </w:rPr>
        <w:t>下降</w:t>
      </w:r>
      <w:r>
        <w:rPr>
          <w:rFonts w:hint="eastAsia" w:ascii="仿宋" w:hAnsi="Times New Roman" w:eastAsia="仿宋"/>
          <w:sz w:val="32"/>
          <w:szCs w:val="32"/>
        </w:rPr>
        <w:t>)</w:t>
      </w:r>
      <w:r>
        <w:rPr>
          <w:rFonts w:hint="eastAsia" w:ascii="仿宋" w:hAnsi="Times New Roman" w:eastAsia="仿宋"/>
          <w:sz w:val="28"/>
          <w:szCs w:val="28"/>
        </w:rPr>
        <w:t>-26.22%</w:t>
      </w:r>
      <w:r>
        <w:rPr>
          <w:rFonts w:hint="eastAsia" w:ascii="仿宋" w:hAnsi="仿宋" w:eastAsia="仿宋"/>
          <w:sz w:val="28"/>
          <w:szCs w:val="28"/>
        </w:rPr>
        <w:t>，</w:t>
      </w:r>
      <w:r>
        <w:rPr>
          <w:rFonts w:hint="eastAsia" w:ascii="仿宋" w:hAnsi="仿宋" w:eastAsia="仿宋"/>
          <w:sz w:val="32"/>
          <w:szCs w:val="32"/>
        </w:rPr>
        <w:t>变化的主要原因：</w:t>
      </w:r>
      <w:r>
        <w:rPr>
          <w:rFonts w:hint="eastAsia" w:ascii="仿宋" w:hAnsi="仿宋" w:eastAsia="仿宋"/>
          <w:sz w:val="28"/>
          <w:szCs w:val="28"/>
        </w:rPr>
        <w:t>厉行节约。</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四、财政拨款收入支出决算总体情况说明</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一、收入支出决算总体情况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Times New Roman" w:eastAsia="仿宋"/>
          <w:sz w:val="32"/>
          <w:szCs w:val="32"/>
        </w:rPr>
        <w:t>2019</w:t>
      </w:r>
      <w:r>
        <w:rPr>
          <w:rFonts w:hint="eastAsia" w:ascii="仿宋" w:hAnsi="仿宋" w:eastAsia="仿宋"/>
          <w:sz w:val="32"/>
          <w:szCs w:val="32"/>
        </w:rPr>
        <w:t>年收入实际完成</w:t>
      </w:r>
      <w:r>
        <w:rPr>
          <w:rFonts w:hint="eastAsia" w:ascii="仿宋" w:hAnsi="Times New Roman" w:eastAsia="仿宋"/>
          <w:sz w:val="28"/>
          <w:szCs w:val="28"/>
        </w:rPr>
        <w:t>3,054</w:t>
      </w:r>
      <w:r>
        <w:rPr>
          <w:rFonts w:hint="eastAsia" w:ascii="仿宋" w:hAnsi="仿宋" w:eastAsia="仿宋"/>
          <w:sz w:val="32"/>
          <w:szCs w:val="32"/>
        </w:rPr>
        <w:t>万元，比上年增</w:t>
      </w:r>
      <w:r>
        <w:rPr>
          <w:rFonts w:hint="eastAsia" w:ascii="仿宋" w:hAnsi="仿宋" w:eastAsia="仿宋"/>
          <w:sz w:val="32"/>
          <w:szCs w:val="32"/>
          <w:lang w:eastAsia="zh-CN"/>
        </w:rPr>
        <w:t>加</w:t>
      </w:r>
      <w:r>
        <w:rPr>
          <w:rFonts w:hint="eastAsia" w:ascii="仿宋" w:hAnsi="Times New Roman" w:eastAsia="仿宋"/>
          <w:sz w:val="28"/>
          <w:szCs w:val="28"/>
        </w:rPr>
        <w:t>578</w:t>
      </w:r>
      <w:r>
        <w:rPr>
          <w:rFonts w:hint="eastAsia" w:ascii="仿宋" w:hAnsi="仿宋" w:eastAsia="仿宋"/>
          <w:sz w:val="32"/>
          <w:szCs w:val="32"/>
        </w:rPr>
        <w:t>万元，增长</w:t>
      </w:r>
      <w:r>
        <w:rPr>
          <w:rFonts w:hint="eastAsia" w:ascii="仿宋" w:hAnsi="Times New Roman" w:eastAsia="仿宋"/>
          <w:sz w:val="28"/>
          <w:szCs w:val="28"/>
        </w:rPr>
        <w:t>23.33</w:t>
      </w:r>
      <w:r>
        <w:rPr>
          <w:rFonts w:hint="eastAsia" w:ascii="仿宋" w:hAnsi="Times New Roman"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一是</w:t>
      </w:r>
      <w:r>
        <w:rPr>
          <w:rFonts w:hint="eastAsia" w:ascii="仿宋" w:hAnsi="仿宋" w:eastAsia="仿宋"/>
          <w:sz w:val="28"/>
          <w:szCs w:val="28"/>
        </w:rPr>
        <w:t>人员调资</w:t>
      </w:r>
      <w:r>
        <w:rPr>
          <w:rFonts w:hint="eastAsia" w:ascii="仿宋" w:hAnsi="仿宋" w:eastAsia="仿宋"/>
          <w:sz w:val="32"/>
          <w:szCs w:val="32"/>
          <w:lang w:eastAsia="zh-CN"/>
        </w:rPr>
        <w:t>，二</w:t>
      </w:r>
      <w:r>
        <w:rPr>
          <w:rFonts w:hint="eastAsia" w:ascii="仿宋" w:hAnsi="仿宋" w:eastAsia="仿宋"/>
          <w:color w:val="333333"/>
          <w:sz w:val="32"/>
          <w:szCs w:val="32"/>
        </w:rPr>
        <w:t>是收入结余用于偿还历年</w:t>
      </w:r>
      <w:r>
        <w:rPr>
          <w:rFonts w:hint="eastAsia" w:ascii="仿宋" w:hAnsi="仿宋" w:eastAsia="仿宋"/>
          <w:color w:val="333333"/>
          <w:sz w:val="32"/>
          <w:szCs w:val="32"/>
          <w:lang w:eastAsia="zh-CN"/>
        </w:rPr>
        <w:t>公积金</w:t>
      </w:r>
      <w:r>
        <w:rPr>
          <w:rFonts w:hint="eastAsia" w:ascii="仿宋" w:hAnsi="仿宋" w:eastAsia="仿宋"/>
          <w:color w:val="333333"/>
          <w:sz w:val="32"/>
          <w:szCs w:val="32"/>
        </w:rPr>
        <w:t>欠款。</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五、一般公共预算财政拨款支出决算情况说明</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（一）一般公共预算拨款支出总体情况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Times New Roman" w:eastAsia="仿宋"/>
          <w:sz w:val="32"/>
          <w:szCs w:val="32"/>
        </w:rPr>
        <w:t>2019</w:t>
      </w:r>
      <w:r>
        <w:rPr>
          <w:rFonts w:hint="eastAsia" w:ascii="仿宋" w:hAnsi="仿宋" w:eastAsia="仿宋"/>
          <w:sz w:val="32"/>
          <w:szCs w:val="32"/>
        </w:rPr>
        <w:t>年，本部门支出</w:t>
      </w:r>
      <w:r>
        <w:rPr>
          <w:rFonts w:hint="eastAsia" w:ascii="仿宋" w:hAnsi="Times New Roman" w:eastAsia="仿宋"/>
          <w:sz w:val="28"/>
          <w:szCs w:val="28"/>
        </w:rPr>
        <w:t>3,100</w:t>
      </w:r>
      <w:r>
        <w:rPr>
          <w:rFonts w:hint="eastAsia" w:ascii="仿宋" w:hAnsi="仿宋" w:eastAsia="仿宋"/>
          <w:sz w:val="32"/>
          <w:szCs w:val="32"/>
        </w:rPr>
        <w:t>万元，比上年增</w:t>
      </w:r>
      <w:r>
        <w:rPr>
          <w:rFonts w:hint="eastAsia" w:ascii="仿宋" w:hAnsi="仿宋" w:eastAsia="仿宋"/>
          <w:sz w:val="32"/>
          <w:szCs w:val="32"/>
          <w:lang w:eastAsia="zh-CN"/>
        </w:rPr>
        <w:t>加</w:t>
      </w:r>
      <w:r>
        <w:rPr>
          <w:rFonts w:hint="eastAsia" w:ascii="仿宋" w:hAnsi="Times New Roman" w:eastAsia="仿宋"/>
          <w:sz w:val="28"/>
          <w:szCs w:val="28"/>
        </w:rPr>
        <w:t>145</w:t>
      </w:r>
      <w:r>
        <w:rPr>
          <w:rFonts w:hint="eastAsia" w:ascii="仿宋" w:hAnsi="仿宋" w:eastAsia="仿宋"/>
          <w:sz w:val="32"/>
          <w:szCs w:val="32"/>
        </w:rPr>
        <w:t>万元，增长</w:t>
      </w:r>
      <w:r>
        <w:rPr>
          <w:rFonts w:hint="eastAsia" w:ascii="仿宋" w:hAnsi="Times New Roman" w:eastAsia="仿宋"/>
          <w:sz w:val="28"/>
          <w:szCs w:val="28"/>
        </w:rPr>
        <w:t>4.9</w:t>
      </w:r>
      <w:r>
        <w:rPr>
          <w:rFonts w:hint="eastAsia" w:ascii="仿宋" w:hAnsi="Times New Roman" w:eastAsia="仿宋"/>
          <w:sz w:val="32"/>
          <w:szCs w:val="32"/>
        </w:rPr>
        <w:t>%</w:t>
      </w:r>
      <w:r>
        <w:rPr>
          <w:rFonts w:hint="eastAsia" w:ascii="仿宋" w:hAnsi="仿宋" w:eastAsia="仿宋"/>
          <w:sz w:val="32"/>
          <w:szCs w:val="32"/>
        </w:rPr>
        <w:t>；变化的主要原因：</w:t>
      </w:r>
      <w:r>
        <w:rPr>
          <w:rFonts w:hint="eastAsia" w:ascii="仿宋" w:hAnsi="仿宋" w:eastAsia="仿宋"/>
          <w:sz w:val="28"/>
          <w:szCs w:val="28"/>
        </w:rPr>
        <w:t>项目资金增加</w:t>
      </w:r>
      <w:r>
        <w:rPr>
          <w:rFonts w:hint="eastAsia" w:ascii="仿宋" w:hAnsi="仿宋" w:eastAsia="仿宋"/>
          <w:sz w:val="28"/>
          <w:szCs w:val="28"/>
          <w:lang w:eastAsia="zh-CN"/>
        </w:rPr>
        <w:t>，</w:t>
      </w:r>
      <w:r>
        <w:rPr>
          <w:rFonts w:hint="eastAsia" w:ascii="仿宋" w:hAnsi="仿宋" w:eastAsia="仿宋"/>
          <w:color w:val="333333"/>
          <w:sz w:val="32"/>
          <w:szCs w:val="32"/>
        </w:rPr>
        <w:t>工资大幅度增加，其他</w:t>
      </w:r>
      <w:r>
        <w:rPr>
          <w:rFonts w:hint="eastAsia" w:ascii="仿宋" w:hAnsi="仿宋" w:eastAsia="仿宋"/>
          <w:color w:val="333333"/>
          <w:sz w:val="32"/>
          <w:szCs w:val="32"/>
          <w:lang w:eastAsia="zh-CN"/>
        </w:rPr>
        <w:t>“</w:t>
      </w:r>
      <w:r>
        <w:rPr>
          <w:rFonts w:hint="eastAsia" w:ascii="仿宋" w:hAnsi="仿宋" w:eastAsia="仿宋"/>
          <w:color w:val="333333"/>
          <w:sz w:val="32"/>
          <w:szCs w:val="32"/>
        </w:rPr>
        <w:t>三金</w:t>
      </w:r>
      <w:r>
        <w:rPr>
          <w:rFonts w:hint="eastAsia" w:ascii="仿宋" w:hAnsi="仿宋" w:eastAsia="仿宋"/>
          <w:color w:val="333333"/>
          <w:sz w:val="32"/>
          <w:szCs w:val="32"/>
          <w:lang w:eastAsia="zh-CN"/>
        </w:rPr>
        <w:t>”</w:t>
      </w:r>
      <w:r>
        <w:rPr>
          <w:rFonts w:hint="eastAsia" w:ascii="仿宋" w:hAnsi="仿宋" w:eastAsia="仿宋"/>
          <w:color w:val="333333"/>
          <w:sz w:val="32"/>
          <w:szCs w:val="32"/>
        </w:rPr>
        <w:t>相应增加。</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（二）一般公共预算拨款支出决算结构情况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一般公共预算拨款支出</w:t>
      </w:r>
      <w:r>
        <w:rPr>
          <w:rFonts w:hint="eastAsia" w:ascii="仿宋" w:hAnsi="仿宋" w:eastAsia="仿宋"/>
          <w:color w:val="333333"/>
          <w:sz w:val="32"/>
          <w:szCs w:val="32"/>
          <w:lang w:val="en-US" w:eastAsia="zh-CN"/>
        </w:rPr>
        <w:t>3094.9869</w:t>
      </w:r>
      <w:r>
        <w:rPr>
          <w:rFonts w:hint="eastAsia" w:ascii="仿宋" w:hAnsi="仿宋" w:eastAsia="仿宋"/>
          <w:color w:val="333333"/>
          <w:sz w:val="32"/>
          <w:szCs w:val="32"/>
        </w:rPr>
        <w:t>万元，主要用于以下方面：</w:t>
      </w:r>
      <w:r>
        <w:rPr>
          <w:rFonts w:hint="eastAsia" w:ascii="仿宋" w:hAnsi="仿宋" w:eastAsia="仿宋"/>
          <w:color w:val="333333"/>
          <w:sz w:val="32"/>
          <w:szCs w:val="32"/>
          <w:lang w:eastAsia="zh-CN"/>
        </w:rPr>
        <w:t>基本</w:t>
      </w:r>
      <w:r>
        <w:rPr>
          <w:rFonts w:hint="eastAsia" w:ascii="仿宋" w:hAnsi="仿宋" w:eastAsia="仿宋"/>
          <w:color w:val="333333"/>
          <w:sz w:val="32"/>
          <w:szCs w:val="32"/>
        </w:rPr>
        <w:t>支出</w:t>
      </w:r>
      <w:r>
        <w:rPr>
          <w:rFonts w:hint="eastAsia" w:ascii="仿宋" w:hAnsi="仿宋" w:eastAsia="仿宋"/>
          <w:color w:val="333333"/>
          <w:sz w:val="32"/>
          <w:szCs w:val="32"/>
          <w:lang w:val="en-US" w:eastAsia="zh-CN"/>
        </w:rPr>
        <w:t>2684.6248</w:t>
      </w:r>
      <w:r>
        <w:rPr>
          <w:rFonts w:hint="eastAsia" w:ascii="仿宋" w:hAnsi="仿宋" w:eastAsia="仿宋"/>
          <w:color w:val="333333"/>
          <w:sz w:val="32"/>
          <w:szCs w:val="32"/>
        </w:rPr>
        <w:t>万元，占</w:t>
      </w:r>
      <w:r>
        <w:rPr>
          <w:rFonts w:hint="eastAsia" w:ascii="仿宋" w:hAnsi="仿宋" w:eastAsia="仿宋"/>
          <w:color w:val="333333"/>
          <w:sz w:val="32"/>
          <w:szCs w:val="32"/>
          <w:lang w:val="en-US" w:eastAsia="zh-CN"/>
        </w:rPr>
        <w:t>86.7</w:t>
      </w:r>
      <w:r>
        <w:rPr>
          <w:rFonts w:hint="eastAsia" w:ascii="仿宋" w:hAnsi="仿宋" w:eastAsia="仿宋"/>
          <w:color w:val="333333"/>
          <w:sz w:val="32"/>
          <w:szCs w:val="32"/>
        </w:rPr>
        <w:t>%。</w:t>
      </w:r>
      <w:r>
        <w:rPr>
          <w:rFonts w:hint="eastAsia" w:ascii="仿宋" w:hAnsi="仿宋" w:eastAsia="仿宋"/>
          <w:color w:val="333333"/>
          <w:sz w:val="32"/>
          <w:szCs w:val="32"/>
          <w:lang w:eastAsia="zh-CN"/>
        </w:rPr>
        <w:t>项目</w:t>
      </w:r>
      <w:r>
        <w:rPr>
          <w:rFonts w:hint="eastAsia" w:ascii="仿宋" w:hAnsi="仿宋" w:eastAsia="仿宋"/>
          <w:color w:val="333333"/>
          <w:sz w:val="32"/>
          <w:szCs w:val="32"/>
        </w:rPr>
        <w:t>支出</w:t>
      </w:r>
      <w:r>
        <w:rPr>
          <w:rFonts w:hint="eastAsia" w:ascii="仿宋" w:hAnsi="仿宋" w:eastAsia="仿宋"/>
          <w:color w:val="333333"/>
          <w:sz w:val="32"/>
          <w:szCs w:val="32"/>
          <w:lang w:val="en-US" w:eastAsia="zh-CN"/>
        </w:rPr>
        <w:t>264.7</w:t>
      </w:r>
      <w:r>
        <w:rPr>
          <w:rFonts w:hint="eastAsia" w:ascii="仿宋" w:hAnsi="仿宋" w:eastAsia="仿宋"/>
          <w:color w:val="333333"/>
          <w:sz w:val="32"/>
          <w:szCs w:val="32"/>
        </w:rPr>
        <w:t>万元，占</w:t>
      </w:r>
      <w:r>
        <w:rPr>
          <w:rFonts w:hint="eastAsia" w:ascii="仿宋" w:hAnsi="仿宋" w:eastAsia="仿宋"/>
          <w:color w:val="333333"/>
          <w:sz w:val="32"/>
          <w:szCs w:val="32"/>
          <w:lang w:val="en-US" w:eastAsia="zh-CN"/>
        </w:rPr>
        <w:t>13.3</w:t>
      </w:r>
      <w:r>
        <w:rPr>
          <w:rFonts w:hint="eastAsia" w:ascii="仿宋" w:hAnsi="仿宋" w:eastAsia="仿宋"/>
          <w:color w:val="333333"/>
          <w:sz w:val="32"/>
          <w:szCs w:val="32"/>
        </w:rPr>
        <w:t>%。</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（三）一般公共预算拨款支出决算具体情况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年度财政拨款支出年初预算为支出决算为</w:t>
      </w:r>
      <w:r>
        <w:rPr>
          <w:rFonts w:hint="eastAsia" w:ascii="仿宋" w:hAnsi="仿宋" w:eastAsia="仿宋"/>
          <w:color w:val="333333"/>
          <w:sz w:val="32"/>
          <w:szCs w:val="32"/>
          <w:lang w:val="en-US" w:eastAsia="zh-CN"/>
        </w:rPr>
        <w:t>3100</w:t>
      </w:r>
      <w:r>
        <w:rPr>
          <w:rFonts w:hint="eastAsia" w:ascii="仿宋" w:hAnsi="仿宋" w:eastAsia="仿宋"/>
          <w:color w:val="333333"/>
          <w:sz w:val="32"/>
          <w:szCs w:val="32"/>
        </w:rPr>
        <w:t>万元，完成年初预算的100%。</w:t>
      </w:r>
    </w:p>
    <w:p>
      <w:pPr>
        <w:autoSpaceDE w:val="0"/>
        <w:autoSpaceDN w:val="0"/>
        <w:adjustRightInd w:val="0"/>
        <w:spacing w:line="520" w:lineRule="exact"/>
        <w:ind w:firstLine="643"/>
        <w:rPr>
          <w:rFonts w:hint="eastAsia" w:ascii="仿宋" w:hAnsi="Times New Roman" w:eastAsia="仿宋"/>
          <w:sz w:val="28"/>
          <w:szCs w:val="28"/>
        </w:rPr>
      </w:pPr>
      <w:r>
        <w:rPr>
          <w:rFonts w:hint="eastAsia" w:ascii="仿宋" w:hAnsi="仿宋" w:eastAsia="仿宋"/>
          <w:color w:val="333333"/>
          <w:sz w:val="32"/>
          <w:szCs w:val="32"/>
        </w:rPr>
        <w:t>按经济分类：</w:t>
      </w:r>
      <w:r>
        <w:rPr>
          <w:rFonts w:hint="eastAsia" w:ascii="仿宋" w:hAnsi="仿宋" w:eastAsia="仿宋"/>
          <w:sz w:val="32"/>
          <w:szCs w:val="32"/>
        </w:rPr>
        <w:t>基本支出完成</w:t>
      </w:r>
      <w:r>
        <w:rPr>
          <w:rFonts w:hint="eastAsia" w:ascii="仿宋" w:hAnsi="Times New Roman" w:eastAsia="仿宋"/>
          <w:sz w:val="28"/>
          <w:szCs w:val="28"/>
        </w:rPr>
        <w:t>2,885</w:t>
      </w:r>
      <w:r>
        <w:rPr>
          <w:rFonts w:hint="eastAsia" w:ascii="仿宋" w:hAnsi="仿宋" w:eastAsia="仿宋"/>
          <w:sz w:val="32"/>
          <w:szCs w:val="32"/>
        </w:rPr>
        <w:t>万元，比上年增减</w:t>
      </w:r>
      <w:r>
        <w:rPr>
          <w:rFonts w:hint="eastAsia" w:ascii="仿宋" w:hAnsi="Times New Roman" w:eastAsia="仿宋"/>
          <w:sz w:val="28"/>
          <w:szCs w:val="28"/>
        </w:rPr>
        <w:t>127</w:t>
      </w:r>
      <w:r>
        <w:rPr>
          <w:rFonts w:hint="eastAsia" w:ascii="仿宋" w:hAnsi="仿宋" w:eastAsia="仿宋"/>
          <w:sz w:val="32"/>
          <w:szCs w:val="32"/>
        </w:rPr>
        <w:t>万元，增长</w:t>
      </w:r>
      <w:r>
        <w:rPr>
          <w:rFonts w:hint="eastAsia" w:ascii="仿宋" w:hAnsi="Times New Roman" w:eastAsia="仿宋"/>
          <w:sz w:val="28"/>
          <w:szCs w:val="28"/>
        </w:rPr>
        <w:t>4.62%</w:t>
      </w:r>
      <w:r>
        <w:rPr>
          <w:rFonts w:hint="eastAsia" w:ascii="仿宋" w:hAnsi="仿宋" w:eastAsia="仿宋"/>
          <w:sz w:val="28"/>
          <w:szCs w:val="28"/>
        </w:rPr>
        <w:t>，</w:t>
      </w:r>
      <w:r>
        <w:rPr>
          <w:rFonts w:hint="eastAsia" w:ascii="仿宋" w:hAnsi="仿宋" w:eastAsia="仿宋"/>
          <w:sz w:val="32"/>
          <w:szCs w:val="32"/>
        </w:rPr>
        <w:t>变化的主要原因：</w:t>
      </w:r>
      <w:r>
        <w:rPr>
          <w:rFonts w:hint="eastAsia" w:ascii="仿宋" w:hAnsi="仿宋" w:eastAsia="仿宋"/>
          <w:sz w:val="28"/>
          <w:szCs w:val="28"/>
        </w:rPr>
        <w:t>人员调资</w:t>
      </w:r>
      <w:r>
        <w:rPr>
          <w:rFonts w:hint="eastAsia" w:ascii="仿宋" w:hAnsi="仿宋" w:eastAsia="仿宋"/>
          <w:sz w:val="32"/>
          <w:szCs w:val="32"/>
        </w:rPr>
        <w:t>。项目支出</w:t>
      </w:r>
      <w:r>
        <w:rPr>
          <w:rFonts w:hint="eastAsia" w:ascii="仿宋" w:hAnsi="Times New Roman" w:eastAsia="仿宋"/>
          <w:sz w:val="28"/>
          <w:szCs w:val="28"/>
        </w:rPr>
        <w:t>214</w:t>
      </w:r>
      <w:r>
        <w:rPr>
          <w:rFonts w:hint="eastAsia" w:ascii="仿宋" w:hAnsi="仿宋" w:eastAsia="仿宋"/>
          <w:sz w:val="32"/>
          <w:szCs w:val="32"/>
        </w:rPr>
        <w:t>万元，比上年增减</w:t>
      </w:r>
      <w:r>
        <w:rPr>
          <w:rFonts w:hint="eastAsia" w:ascii="仿宋" w:hAnsi="Times New Roman" w:eastAsia="仿宋"/>
          <w:sz w:val="28"/>
          <w:szCs w:val="28"/>
        </w:rPr>
        <w:t>17</w:t>
      </w:r>
      <w:r>
        <w:rPr>
          <w:rFonts w:hint="eastAsia" w:ascii="仿宋" w:hAnsi="仿宋" w:eastAsia="仿宋"/>
          <w:sz w:val="32"/>
          <w:szCs w:val="32"/>
        </w:rPr>
        <w:t>万元，增长</w:t>
      </w:r>
      <w:r>
        <w:rPr>
          <w:rFonts w:hint="eastAsia" w:ascii="仿宋" w:hAnsi="Times New Roman" w:eastAsia="仿宋"/>
          <w:sz w:val="28"/>
          <w:szCs w:val="28"/>
        </w:rPr>
        <w:t>8.85%</w:t>
      </w:r>
      <w:r>
        <w:rPr>
          <w:rFonts w:hint="eastAsia" w:ascii="仿宋" w:hAnsi="仿宋" w:eastAsia="仿宋"/>
          <w:sz w:val="32"/>
          <w:szCs w:val="32"/>
        </w:rPr>
        <w:t>；变化的主要原因：</w:t>
      </w:r>
      <w:r>
        <w:rPr>
          <w:rFonts w:hint="eastAsia" w:ascii="仿宋" w:hAnsi="仿宋" w:eastAsia="仿宋"/>
          <w:sz w:val="28"/>
          <w:szCs w:val="28"/>
        </w:rPr>
        <w:t>项目增加</w:t>
      </w:r>
      <w:r>
        <w:rPr>
          <w:rFonts w:hint="eastAsia" w:ascii="仿宋" w:hAnsi="仿宋" w:eastAsia="仿宋"/>
          <w:sz w:val="32"/>
          <w:szCs w:val="32"/>
        </w:rPr>
        <w:t>。人员经费完成</w:t>
      </w:r>
      <w:r>
        <w:rPr>
          <w:rFonts w:hint="eastAsia" w:ascii="仿宋" w:hAnsi="Times New Roman" w:eastAsia="仿宋"/>
          <w:sz w:val="28"/>
          <w:szCs w:val="28"/>
        </w:rPr>
        <w:t>2,647</w:t>
      </w:r>
      <w:r>
        <w:rPr>
          <w:rFonts w:hint="eastAsia" w:ascii="仿宋" w:hAnsi="仿宋" w:eastAsia="仿宋"/>
          <w:sz w:val="28"/>
          <w:szCs w:val="28"/>
        </w:rPr>
        <w:t>万</w:t>
      </w:r>
      <w:r>
        <w:rPr>
          <w:rFonts w:hint="eastAsia" w:ascii="仿宋" w:hAnsi="仿宋" w:eastAsia="仿宋"/>
          <w:sz w:val="32"/>
          <w:szCs w:val="32"/>
        </w:rPr>
        <w:t>元，比上年增减</w:t>
      </w:r>
      <w:r>
        <w:rPr>
          <w:rFonts w:hint="eastAsia" w:ascii="仿宋" w:hAnsi="Times New Roman" w:eastAsia="仿宋"/>
          <w:sz w:val="28"/>
          <w:szCs w:val="28"/>
        </w:rPr>
        <w:t>212</w:t>
      </w:r>
      <w:r>
        <w:rPr>
          <w:rFonts w:hint="eastAsia" w:ascii="仿宋" w:hAnsi="仿宋" w:eastAsia="仿宋"/>
          <w:sz w:val="32"/>
          <w:szCs w:val="32"/>
        </w:rPr>
        <w:t>万元，增长</w:t>
      </w:r>
      <w:r>
        <w:rPr>
          <w:rFonts w:hint="eastAsia" w:ascii="仿宋" w:hAnsi="Times New Roman" w:eastAsia="仿宋"/>
          <w:sz w:val="28"/>
          <w:szCs w:val="28"/>
        </w:rPr>
        <w:t>8.71%</w:t>
      </w:r>
      <w:r>
        <w:rPr>
          <w:rFonts w:hint="eastAsia" w:ascii="仿宋" w:hAnsi="仿宋" w:eastAsia="仿宋"/>
          <w:sz w:val="28"/>
          <w:szCs w:val="28"/>
        </w:rPr>
        <w:t>，</w:t>
      </w:r>
      <w:r>
        <w:rPr>
          <w:rFonts w:hint="eastAsia" w:ascii="仿宋" w:hAnsi="仿宋" w:eastAsia="仿宋"/>
          <w:sz w:val="32"/>
          <w:szCs w:val="32"/>
        </w:rPr>
        <w:t>变化的主要原因：</w:t>
      </w:r>
      <w:r>
        <w:rPr>
          <w:rFonts w:hint="eastAsia" w:ascii="仿宋" w:hAnsi="仿宋" w:eastAsia="仿宋"/>
          <w:sz w:val="28"/>
          <w:szCs w:val="28"/>
        </w:rPr>
        <w:t>人员调资</w:t>
      </w:r>
      <w:r>
        <w:rPr>
          <w:rFonts w:hint="eastAsia" w:ascii="仿宋" w:hAnsi="仿宋" w:eastAsia="仿宋"/>
          <w:sz w:val="32"/>
          <w:szCs w:val="32"/>
        </w:rPr>
        <w:t>；公用经费完成</w:t>
      </w:r>
      <w:r>
        <w:rPr>
          <w:rFonts w:hint="eastAsia" w:ascii="仿宋" w:hAnsi="Times New Roman" w:eastAsia="仿宋"/>
          <w:sz w:val="28"/>
          <w:szCs w:val="28"/>
        </w:rPr>
        <w:t>238</w:t>
      </w:r>
      <w:r>
        <w:rPr>
          <w:rFonts w:hint="eastAsia" w:ascii="仿宋" w:hAnsi="仿宋" w:eastAsia="仿宋"/>
          <w:sz w:val="32"/>
          <w:szCs w:val="32"/>
        </w:rPr>
        <w:t>万元，比上年增减</w:t>
      </w:r>
      <w:r>
        <w:rPr>
          <w:rFonts w:hint="eastAsia" w:ascii="仿宋" w:hAnsi="Times New Roman" w:eastAsia="仿宋"/>
          <w:sz w:val="28"/>
          <w:szCs w:val="28"/>
        </w:rPr>
        <w:t>-85</w:t>
      </w:r>
      <w:r>
        <w:rPr>
          <w:rFonts w:hint="eastAsia" w:ascii="仿宋" w:hAnsi="仿宋" w:eastAsia="仿宋"/>
          <w:sz w:val="32"/>
          <w:szCs w:val="32"/>
        </w:rPr>
        <w:t>万元，增长</w:t>
      </w:r>
      <w:r>
        <w:rPr>
          <w:rFonts w:hint="eastAsia" w:ascii="仿宋" w:hAnsi="Times New Roman" w:eastAsia="仿宋"/>
          <w:sz w:val="28"/>
          <w:szCs w:val="28"/>
        </w:rPr>
        <w:t>-26.22%</w:t>
      </w:r>
      <w:r>
        <w:rPr>
          <w:rFonts w:hint="eastAsia" w:ascii="仿宋" w:hAnsi="仿宋" w:eastAsia="仿宋"/>
          <w:sz w:val="28"/>
          <w:szCs w:val="28"/>
        </w:rPr>
        <w:t>，</w:t>
      </w:r>
      <w:r>
        <w:rPr>
          <w:rFonts w:hint="eastAsia" w:ascii="仿宋" w:hAnsi="仿宋" w:eastAsia="仿宋"/>
          <w:sz w:val="32"/>
          <w:szCs w:val="32"/>
        </w:rPr>
        <w:t>变化的主要原因：</w:t>
      </w:r>
      <w:r>
        <w:rPr>
          <w:rFonts w:hint="eastAsia" w:ascii="仿宋" w:hAnsi="仿宋" w:eastAsia="仿宋"/>
          <w:sz w:val="28"/>
          <w:szCs w:val="28"/>
        </w:rPr>
        <w:t>厉行节约。</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六、一般公共预算财政拨款基本支出决算情况说明</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s="仿宋"/>
          <w:color w:val="333333"/>
          <w:sz w:val="32"/>
          <w:szCs w:val="32"/>
        </w:rPr>
        <w:t xml:space="preserve"> </w:t>
      </w:r>
      <w:r>
        <w:rPr>
          <w:rFonts w:hint="eastAsia" w:ascii="仿宋" w:hAnsi="仿宋" w:eastAsia="仿宋"/>
          <w:color w:val="333333"/>
          <w:sz w:val="32"/>
          <w:szCs w:val="32"/>
        </w:rPr>
        <w:t>沅江市</w:t>
      </w:r>
      <w:r>
        <w:rPr>
          <w:rFonts w:hint="eastAsia" w:ascii="仿宋" w:hAnsi="仿宋" w:eastAsia="仿宋"/>
          <w:color w:val="333333"/>
          <w:sz w:val="32"/>
          <w:szCs w:val="32"/>
          <w:lang w:eastAsia="zh-CN"/>
        </w:rPr>
        <w:t>住房保障服务中心</w:t>
      </w:r>
      <w:r>
        <w:rPr>
          <w:rFonts w:hint="eastAsia" w:ascii="仿宋" w:hAnsi="仿宋" w:eastAsia="仿宋"/>
          <w:color w:val="333333"/>
          <w:sz w:val="32"/>
          <w:szCs w:val="32"/>
        </w:rPr>
        <w:t>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年度一般公共预算财政拨款基本支出</w:t>
      </w:r>
      <w:r>
        <w:rPr>
          <w:rFonts w:hint="eastAsia" w:ascii="仿宋" w:hAnsi="仿宋" w:eastAsia="仿宋"/>
          <w:color w:val="333333"/>
          <w:sz w:val="32"/>
          <w:szCs w:val="32"/>
          <w:lang w:val="en-US" w:eastAsia="zh-CN"/>
        </w:rPr>
        <w:t>3094.9869</w:t>
      </w:r>
      <w:r>
        <w:rPr>
          <w:rFonts w:hint="eastAsia" w:ascii="仿宋" w:hAnsi="仿宋" w:eastAsia="仿宋"/>
          <w:color w:val="333333"/>
          <w:sz w:val="32"/>
          <w:szCs w:val="32"/>
        </w:rPr>
        <w:t>万元。其中:</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color w:val="333333"/>
          <w:sz w:val="32"/>
          <w:szCs w:val="32"/>
        </w:rPr>
        <w:t> </w:t>
      </w:r>
      <w:r>
        <w:rPr>
          <w:rFonts w:hint="eastAsia" w:ascii="仿宋" w:hAnsi="仿宋" w:eastAsia="仿宋"/>
          <w:color w:val="333333"/>
          <w:sz w:val="32"/>
          <w:szCs w:val="32"/>
        </w:rPr>
        <w:t>人员经费</w:t>
      </w:r>
      <w:r>
        <w:rPr>
          <w:rFonts w:hint="eastAsia" w:ascii="仿宋" w:hAnsi="Times New Roman" w:eastAsia="仿宋"/>
          <w:sz w:val="28"/>
          <w:szCs w:val="28"/>
        </w:rPr>
        <w:t>2,885</w:t>
      </w:r>
      <w:r>
        <w:rPr>
          <w:rFonts w:hint="eastAsia" w:ascii="仿宋" w:hAnsi="仿宋" w:eastAsia="仿宋"/>
          <w:color w:val="333333"/>
          <w:sz w:val="32"/>
          <w:szCs w:val="32"/>
        </w:rPr>
        <w:t>万元，主要包括：按国家规定支出的基本工资、津贴补贴、其他社会保障缴费、伙食补助费、机关事业单位基本养老保险缴费、其他工资福利支出、退休费、抚恤金、生活补助、医疗费、住房公积金、其他对个人和家庭的补助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color w:val="333333"/>
          <w:sz w:val="32"/>
          <w:szCs w:val="32"/>
        </w:rPr>
        <w:t> </w:t>
      </w:r>
      <w:r>
        <w:rPr>
          <w:rFonts w:hint="eastAsia" w:ascii="仿宋" w:hAnsi="仿宋" w:eastAsia="仿宋"/>
          <w:color w:val="333333"/>
          <w:sz w:val="32"/>
          <w:szCs w:val="32"/>
        </w:rPr>
        <w:t>公用经费</w:t>
      </w:r>
      <w:r>
        <w:rPr>
          <w:rFonts w:hint="eastAsia" w:ascii="仿宋" w:hAnsi="仿宋" w:eastAsia="仿宋"/>
          <w:color w:val="333333"/>
          <w:sz w:val="32"/>
          <w:szCs w:val="32"/>
          <w:lang w:val="en-US" w:eastAsia="zh-CN"/>
        </w:rPr>
        <w:t>264.7</w:t>
      </w:r>
      <w:r>
        <w:rPr>
          <w:rFonts w:hint="eastAsia" w:ascii="仿宋" w:hAnsi="仿宋" w:eastAsia="仿宋"/>
          <w:color w:val="333333"/>
          <w:sz w:val="32"/>
          <w:szCs w:val="32"/>
        </w:rPr>
        <w:t>万元，主要包括：办公费、印刷费、水费、电费、邮电费、差旅费、维修（护）费、会议费、培训费、公务接待费、劳务费、工会经费、福利费、公务用车运行维护费、其他交通费用、税金及附加费用、其他商品和服务支出、办公设备购置、专用设备购置、其他资本性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七、一般公共预算财政拨款“三公”经费决算情况说明</w:t>
      </w:r>
    </w:p>
    <w:p>
      <w:pPr>
        <w:autoSpaceDE w:val="0"/>
        <w:autoSpaceDN w:val="0"/>
        <w:adjustRightInd w:val="0"/>
        <w:spacing w:line="520" w:lineRule="exact"/>
        <w:ind w:firstLine="640"/>
        <w:rPr>
          <w:rFonts w:ascii="宋体" w:hAnsi="Times New Roman"/>
          <w:kern w:val="0"/>
          <w:sz w:val="18"/>
          <w:szCs w:val="18"/>
        </w:rPr>
      </w:pPr>
      <w:r>
        <w:rPr>
          <w:rFonts w:hint="eastAsia" w:ascii="仿宋" w:hAnsi="Times New Roman" w:eastAsia="仿宋"/>
          <w:b/>
          <w:bCs/>
          <w:sz w:val="32"/>
          <w:szCs w:val="32"/>
        </w:rPr>
        <w:t>“</w:t>
      </w:r>
      <w:r>
        <w:rPr>
          <w:rFonts w:hint="eastAsia" w:ascii="仿宋" w:hAnsi="仿宋" w:eastAsia="仿宋"/>
          <w:sz w:val="32"/>
          <w:szCs w:val="32"/>
        </w:rPr>
        <w:t>三公</w:t>
      </w:r>
      <w:r>
        <w:rPr>
          <w:rFonts w:hint="eastAsia" w:ascii="仿宋" w:hAnsi="Times New Roman" w:eastAsia="仿宋"/>
          <w:b/>
          <w:bCs/>
          <w:sz w:val="32"/>
          <w:szCs w:val="32"/>
        </w:rPr>
        <w:t>”</w:t>
      </w:r>
      <w:r>
        <w:rPr>
          <w:rFonts w:hint="eastAsia" w:ascii="仿宋" w:hAnsi="仿宋" w:eastAsia="仿宋"/>
          <w:sz w:val="32"/>
          <w:szCs w:val="32"/>
        </w:rPr>
        <w:t>经费支出情况：</w:t>
      </w:r>
      <w:r>
        <w:rPr>
          <w:rFonts w:hint="eastAsia" w:ascii="仿宋" w:hAnsi="Times New Roman" w:eastAsia="仿宋"/>
          <w:sz w:val="32"/>
          <w:szCs w:val="32"/>
        </w:rPr>
        <w:t>2019</w:t>
      </w:r>
      <w:r>
        <w:rPr>
          <w:rFonts w:hint="eastAsia" w:ascii="仿宋" w:hAnsi="仿宋" w:eastAsia="仿宋"/>
          <w:sz w:val="32"/>
          <w:szCs w:val="32"/>
        </w:rPr>
        <w:t>年，</w:t>
      </w:r>
      <w:r>
        <w:rPr>
          <w:rFonts w:hint="eastAsia" w:ascii="仿宋" w:hAnsi="Times New Roman" w:eastAsia="仿宋"/>
          <w:sz w:val="32"/>
          <w:szCs w:val="32"/>
        </w:rPr>
        <w:t>“</w:t>
      </w:r>
      <w:r>
        <w:rPr>
          <w:rFonts w:hint="eastAsia" w:ascii="仿宋" w:hAnsi="仿宋" w:eastAsia="仿宋"/>
          <w:sz w:val="32"/>
          <w:szCs w:val="32"/>
        </w:rPr>
        <w:t>三公</w:t>
      </w:r>
      <w:r>
        <w:rPr>
          <w:rFonts w:hint="eastAsia" w:ascii="仿宋" w:hAnsi="Times New Roman" w:eastAsia="仿宋"/>
          <w:sz w:val="32"/>
          <w:szCs w:val="32"/>
        </w:rPr>
        <w:t>”</w:t>
      </w:r>
      <w:r>
        <w:rPr>
          <w:rFonts w:hint="eastAsia" w:ascii="仿宋" w:hAnsi="仿宋" w:eastAsia="仿宋"/>
          <w:sz w:val="32"/>
          <w:szCs w:val="32"/>
        </w:rPr>
        <w:t>经费完成</w:t>
      </w:r>
      <w:r>
        <w:rPr>
          <w:rFonts w:hint="eastAsia" w:ascii="仿宋" w:hAnsi="Times New Roman" w:eastAsia="仿宋"/>
          <w:sz w:val="32"/>
          <w:szCs w:val="32"/>
        </w:rPr>
        <w:t>158,678</w:t>
      </w:r>
      <w:r>
        <w:rPr>
          <w:rFonts w:hint="eastAsia" w:ascii="仿宋" w:hAnsi="仿宋" w:eastAsia="仿宋"/>
          <w:sz w:val="32"/>
          <w:szCs w:val="32"/>
        </w:rPr>
        <w:t>元，比上年增减</w:t>
      </w:r>
      <w:r>
        <w:rPr>
          <w:rFonts w:hint="eastAsia" w:ascii="仿宋" w:hAnsi="Times New Roman" w:eastAsia="仿宋"/>
          <w:sz w:val="32"/>
          <w:szCs w:val="32"/>
        </w:rPr>
        <w:t>-56,980.9</w:t>
      </w:r>
      <w:r>
        <w:rPr>
          <w:rFonts w:hint="eastAsia" w:ascii="仿宋" w:hAnsi="仿宋" w:eastAsia="仿宋"/>
          <w:sz w:val="32"/>
          <w:szCs w:val="32"/>
        </w:rPr>
        <w:t>元，增加下降</w:t>
      </w:r>
      <w:r>
        <w:rPr>
          <w:rFonts w:hint="eastAsia" w:ascii="仿宋" w:hAnsi="Times New Roman" w:eastAsia="仿宋"/>
          <w:sz w:val="32"/>
          <w:szCs w:val="32"/>
        </w:rPr>
        <w:t>-26.42%</w:t>
      </w:r>
      <w:r>
        <w:rPr>
          <w:rFonts w:hint="eastAsia" w:ascii="仿宋" w:hAnsi="仿宋" w:eastAsia="仿宋"/>
          <w:sz w:val="32"/>
          <w:szCs w:val="32"/>
        </w:rPr>
        <w:t>，增减变化的主要原因是：公车上缴。其中：</w:t>
      </w:r>
      <w:r>
        <w:rPr>
          <w:rFonts w:hint="eastAsia" w:ascii="仿宋" w:hAnsi="仿宋" w:eastAsia="仿宋"/>
          <w:b/>
          <w:bCs/>
          <w:sz w:val="32"/>
          <w:szCs w:val="32"/>
        </w:rPr>
        <w:t>因公出国（境）费</w:t>
      </w:r>
      <w:r>
        <w:rPr>
          <w:rFonts w:hint="eastAsia" w:ascii="仿宋" w:hAnsi="仿宋" w:eastAsia="仿宋"/>
          <w:sz w:val="32"/>
          <w:szCs w:val="32"/>
        </w:rPr>
        <w:t>完成</w:t>
      </w:r>
      <w:r>
        <w:rPr>
          <w:rFonts w:hint="eastAsia" w:ascii="仿宋" w:hAnsi="Times New Roman" w:eastAsia="仿宋"/>
          <w:sz w:val="32"/>
          <w:szCs w:val="32"/>
        </w:rPr>
        <w:t>0</w:t>
      </w:r>
      <w:r>
        <w:rPr>
          <w:rFonts w:hint="eastAsia" w:ascii="仿宋" w:hAnsi="仿宋" w:eastAsia="仿宋"/>
          <w:sz w:val="32"/>
          <w:szCs w:val="32"/>
        </w:rPr>
        <w:t>元，比上年增减</w:t>
      </w:r>
      <w:r>
        <w:rPr>
          <w:rFonts w:hint="eastAsia" w:ascii="仿宋" w:hAnsi="Times New Roman" w:eastAsia="仿宋"/>
          <w:sz w:val="32"/>
          <w:szCs w:val="32"/>
        </w:rPr>
        <w:t>0</w:t>
      </w:r>
      <w:r>
        <w:rPr>
          <w:rFonts w:hint="eastAsia" w:ascii="仿宋" w:hAnsi="仿宋" w:eastAsia="仿宋"/>
          <w:sz w:val="32"/>
          <w:szCs w:val="32"/>
        </w:rPr>
        <w:t>元，增加下降</w:t>
      </w:r>
      <w:r>
        <w:rPr>
          <w:rFonts w:hint="eastAsia" w:ascii="仿宋" w:hAnsi="Times New Roman" w:eastAsia="仿宋"/>
          <w:sz w:val="32"/>
          <w:szCs w:val="32"/>
        </w:rPr>
        <w:t>0%</w:t>
      </w:r>
      <w:r>
        <w:rPr>
          <w:rFonts w:hint="eastAsia" w:ascii="仿宋" w:hAnsi="仿宋" w:eastAsia="仿宋"/>
          <w:sz w:val="32"/>
          <w:szCs w:val="32"/>
        </w:rPr>
        <w:t>，增减变化的主要原因是：；</w:t>
      </w:r>
      <w:r>
        <w:rPr>
          <w:rFonts w:hint="eastAsia" w:ascii="仿宋" w:hAnsi="仿宋" w:eastAsia="仿宋"/>
          <w:b/>
          <w:bCs/>
          <w:sz w:val="32"/>
          <w:szCs w:val="32"/>
        </w:rPr>
        <w:t>公务接待费</w:t>
      </w:r>
      <w:r>
        <w:rPr>
          <w:rFonts w:hint="eastAsia" w:ascii="仿宋" w:hAnsi="仿宋" w:eastAsia="仿宋"/>
          <w:sz w:val="32"/>
          <w:szCs w:val="32"/>
        </w:rPr>
        <w:t>完成</w:t>
      </w:r>
      <w:r>
        <w:rPr>
          <w:rFonts w:hint="eastAsia" w:ascii="仿宋" w:hAnsi="Times New Roman" w:eastAsia="仿宋"/>
          <w:sz w:val="32"/>
          <w:szCs w:val="32"/>
        </w:rPr>
        <w:t>158,678</w:t>
      </w:r>
      <w:r>
        <w:rPr>
          <w:rFonts w:hint="eastAsia" w:ascii="仿宋" w:hAnsi="仿宋" w:eastAsia="仿宋"/>
          <w:sz w:val="32"/>
          <w:szCs w:val="32"/>
        </w:rPr>
        <w:t>元，比上年增减</w:t>
      </w:r>
      <w:r>
        <w:rPr>
          <w:rFonts w:hint="eastAsia" w:ascii="仿宋" w:hAnsi="Times New Roman" w:eastAsia="仿宋"/>
          <w:sz w:val="32"/>
          <w:szCs w:val="32"/>
        </w:rPr>
        <w:t>4,771.21</w:t>
      </w:r>
      <w:r>
        <w:rPr>
          <w:rFonts w:hint="eastAsia" w:ascii="仿宋" w:hAnsi="仿宋" w:eastAsia="仿宋"/>
          <w:sz w:val="32"/>
          <w:szCs w:val="32"/>
        </w:rPr>
        <w:t>元，增加下降</w:t>
      </w:r>
      <w:r>
        <w:rPr>
          <w:rFonts w:hint="eastAsia" w:ascii="仿宋" w:hAnsi="Times New Roman" w:eastAsia="仿宋"/>
          <w:sz w:val="32"/>
          <w:szCs w:val="32"/>
        </w:rPr>
        <w:t>3.1%</w:t>
      </w:r>
      <w:r>
        <w:rPr>
          <w:rFonts w:hint="eastAsia" w:ascii="仿宋" w:hAnsi="仿宋" w:eastAsia="仿宋"/>
          <w:sz w:val="32"/>
          <w:szCs w:val="32"/>
        </w:rPr>
        <w:t>，增减变化的主要原因是：</w:t>
      </w:r>
      <w:r>
        <w:rPr>
          <w:rFonts w:hint="eastAsia" w:ascii="仿宋" w:hAnsi="仿宋" w:eastAsia="仿宋"/>
          <w:b/>
          <w:bCs/>
          <w:sz w:val="32"/>
          <w:szCs w:val="32"/>
        </w:rPr>
        <w:t>公务用车购置及运行维护费</w:t>
      </w:r>
      <w:r>
        <w:rPr>
          <w:rFonts w:hint="eastAsia" w:ascii="仿宋" w:hAnsi="仿宋" w:eastAsia="仿宋"/>
          <w:sz w:val="32"/>
          <w:szCs w:val="32"/>
        </w:rPr>
        <w:t>完成</w:t>
      </w:r>
      <w:r>
        <w:rPr>
          <w:rFonts w:hint="eastAsia" w:ascii="仿宋" w:hAnsi="Times New Roman" w:eastAsia="仿宋"/>
          <w:sz w:val="32"/>
          <w:szCs w:val="32"/>
        </w:rPr>
        <w:t>0</w:t>
      </w:r>
      <w:r>
        <w:rPr>
          <w:rFonts w:hint="eastAsia" w:ascii="仿宋" w:hAnsi="仿宋" w:eastAsia="仿宋"/>
          <w:sz w:val="32"/>
          <w:szCs w:val="32"/>
        </w:rPr>
        <w:t>元，比上年增减</w:t>
      </w:r>
      <w:r>
        <w:rPr>
          <w:rFonts w:hint="eastAsia" w:ascii="仿宋" w:hAnsi="Times New Roman" w:eastAsia="仿宋"/>
          <w:sz w:val="32"/>
          <w:szCs w:val="32"/>
        </w:rPr>
        <w:t>-61,752.11</w:t>
      </w:r>
      <w:r>
        <w:rPr>
          <w:rFonts w:hint="eastAsia" w:ascii="仿宋" w:hAnsi="仿宋" w:eastAsia="仿宋"/>
          <w:sz w:val="32"/>
          <w:szCs w:val="32"/>
        </w:rPr>
        <w:t>元，增加下降</w:t>
      </w:r>
      <w:r>
        <w:rPr>
          <w:rFonts w:hint="eastAsia" w:ascii="仿宋" w:hAnsi="Times New Roman" w:eastAsia="仿宋"/>
          <w:sz w:val="32"/>
          <w:szCs w:val="32"/>
        </w:rPr>
        <w:t>-100%</w:t>
      </w:r>
      <w:r>
        <w:rPr>
          <w:rFonts w:hint="eastAsia" w:ascii="仿宋" w:hAnsi="仿宋" w:eastAsia="仿宋"/>
          <w:sz w:val="32"/>
          <w:szCs w:val="32"/>
        </w:rPr>
        <w:t>，增减变化的主要原因是：公车上缴。</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八、政府性基金预算收入支出决算情况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年本单位没有使用政府性基金预算拨款安排的支出。</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九、预算绩效情况说明</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b/>
          <w:bCs/>
          <w:color w:val="333333"/>
          <w:sz w:val="32"/>
          <w:szCs w:val="32"/>
        </w:rPr>
        <w:t>（一）绩效管理工作开展情况。</w:t>
      </w:r>
      <w:r>
        <w:rPr>
          <w:rFonts w:hint="eastAsia" w:ascii="仿宋" w:hAnsi="仿宋" w:eastAsia="仿宋"/>
          <w:color w:val="333333"/>
          <w:sz w:val="32"/>
          <w:szCs w:val="32"/>
        </w:rPr>
        <w:t>沅江市房地产管理局201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年度收入总计</w:t>
      </w:r>
      <w:r>
        <w:rPr>
          <w:rFonts w:hint="eastAsia" w:ascii="仿宋" w:hAnsi="Times New Roman" w:eastAsia="仿宋"/>
          <w:sz w:val="28"/>
          <w:szCs w:val="28"/>
        </w:rPr>
        <w:t>3,054</w:t>
      </w:r>
      <w:r>
        <w:rPr>
          <w:rFonts w:hint="eastAsia" w:ascii="仿宋" w:hAnsi="仿宋" w:eastAsia="仿宋"/>
          <w:sz w:val="32"/>
          <w:szCs w:val="32"/>
        </w:rPr>
        <w:t>万元，比上年增减</w:t>
      </w:r>
      <w:r>
        <w:rPr>
          <w:rFonts w:hint="eastAsia" w:ascii="仿宋" w:hAnsi="Times New Roman" w:eastAsia="仿宋"/>
          <w:sz w:val="28"/>
          <w:szCs w:val="28"/>
        </w:rPr>
        <w:t>578</w:t>
      </w:r>
      <w:r>
        <w:rPr>
          <w:rFonts w:hint="eastAsia" w:ascii="仿宋" w:hAnsi="仿宋" w:eastAsia="仿宋"/>
          <w:sz w:val="32"/>
          <w:szCs w:val="32"/>
        </w:rPr>
        <w:t>万元，增长</w:t>
      </w:r>
      <w:r>
        <w:rPr>
          <w:rFonts w:hint="eastAsia" w:ascii="仿宋" w:hAnsi="Times New Roman" w:eastAsia="仿宋"/>
          <w:sz w:val="28"/>
          <w:szCs w:val="28"/>
        </w:rPr>
        <w:t>23.33</w:t>
      </w:r>
      <w:r>
        <w:rPr>
          <w:rFonts w:hint="eastAsia" w:ascii="仿宋" w:hAnsi="Times New Roman" w:eastAsia="仿宋"/>
          <w:sz w:val="32"/>
          <w:szCs w:val="32"/>
        </w:rPr>
        <w:t>%</w:t>
      </w:r>
      <w:r>
        <w:rPr>
          <w:rFonts w:hint="eastAsia" w:ascii="仿宋" w:hAnsi="仿宋" w:eastAsia="仿宋"/>
          <w:sz w:val="32"/>
          <w:szCs w:val="32"/>
        </w:rPr>
        <w:t>。</w:t>
      </w:r>
      <w:r>
        <w:rPr>
          <w:rFonts w:hint="eastAsia" w:ascii="仿宋" w:hAnsi="仿宋" w:eastAsia="仿宋"/>
          <w:color w:val="333333"/>
          <w:sz w:val="32"/>
          <w:szCs w:val="32"/>
        </w:rPr>
        <w:t>主要原因：</w:t>
      </w:r>
      <w:r>
        <w:rPr>
          <w:rFonts w:hint="eastAsia" w:ascii="仿宋" w:hAnsi="仿宋" w:eastAsia="仿宋"/>
          <w:color w:val="333333"/>
          <w:sz w:val="32"/>
          <w:szCs w:val="32"/>
          <w:lang w:eastAsia="zh-CN"/>
        </w:rPr>
        <w:t>因机构改革，职能减少，收入减少。</w:t>
      </w:r>
      <w:r>
        <w:rPr>
          <w:rFonts w:hint="eastAsia" w:ascii="仿宋" w:hAnsi="仿宋" w:eastAsia="仿宋"/>
          <w:sz w:val="32"/>
          <w:szCs w:val="32"/>
        </w:rPr>
        <w:t>本部门支出</w:t>
      </w:r>
      <w:r>
        <w:rPr>
          <w:rFonts w:hint="eastAsia" w:ascii="仿宋" w:hAnsi="Times New Roman" w:eastAsia="仿宋"/>
          <w:sz w:val="28"/>
          <w:szCs w:val="28"/>
        </w:rPr>
        <w:t>3,100</w:t>
      </w:r>
      <w:r>
        <w:rPr>
          <w:rFonts w:hint="eastAsia" w:ascii="仿宋" w:hAnsi="仿宋" w:eastAsia="仿宋"/>
          <w:sz w:val="32"/>
          <w:szCs w:val="32"/>
        </w:rPr>
        <w:t>万元，比上年增减</w:t>
      </w:r>
      <w:r>
        <w:rPr>
          <w:rFonts w:hint="eastAsia" w:ascii="仿宋" w:hAnsi="Times New Roman" w:eastAsia="仿宋"/>
          <w:sz w:val="28"/>
          <w:szCs w:val="28"/>
        </w:rPr>
        <w:t>145</w:t>
      </w:r>
      <w:r>
        <w:rPr>
          <w:rFonts w:hint="eastAsia" w:ascii="仿宋" w:hAnsi="仿宋" w:eastAsia="仿宋"/>
          <w:sz w:val="32"/>
          <w:szCs w:val="32"/>
        </w:rPr>
        <w:t>万元，增长</w:t>
      </w:r>
      <w:r>
        <w:rPr>
          <w:rFonts w:hint="eastAsia" w:ascii="仿宋" w:hAnsi="Times New Roman" w:eastAsia="仿宋"/>
          <w:sz w:val="28"/>
          <w:szCs w:val="28"/>
        </w:rPr>
        <w:t>4.9</w:t>
      </w:r>
      <w:r>
        <w:rPr>
          <w:rFonts w:hint="eastAsia" w:ascii="仿宋" w:hAnsi="Times New Roman" w:eastAsia="仿宋"/>
          <w:sz w:val="32"/>
          <w:szCs w:val="32"/>
        </w:rPr>
        <w:t>%</w:t>
      </w:r>
      <w:r>
        <w:rPr>
          <w:rFonts w:hint="eastAsia" w:ascii="仿宋" w:hAnsi="仿宋" w:eastAsia="仿宋"/>
          <w:sz w:val="32"/>
          <w:szCs w:val="32"/>
        </w:rPr>
        <w:t>；</w:t>
      </w:r>
      <w:r>
        <w:rPr>
          <w:rFonts w:hint="eastAsia" w:ascii="仿宋" w:hAnsi="仿宋" w:eastAsia="仿宋"/>
          <w:color w:val="333333"/>
          <w:sz w:val="32"/>
          <w:szCs w:val="32"/>
        </w:rPr>
        <w:t>主要原因：工资调资增加支出38.034万元，预付201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年绩效奖82.813万元，社保金补缴214.4182万元，住房公积金补缴149.563万元。</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b/>
          <w:bCs/>
          <w:color w:val="333333"/>
          <w:sz w:val="32"/>
          <w:szCs w:val="32"/>
        </w:rPr>
        <w:t>（二）部门决算中项目绩效自评结果。</w:t>
      </w:r>
      <w:r>
        <w:rPr>
          <w:rFonts w:hint="eastAsia" w:ascii="仿宋" w:hAnsi="仿宋" w:eastAsia="仿宋"/>
          <w:color w:val="333333"/>
          <w:sz w:val="32"/>
          <w:szCs w:val="32"/>
        </w:rPr>
        <w:t>通过认真对照《201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年沅江市部门整体支出绩效评价指标表》开展自评，我局在“投入”、“过程”、“产出”、“效果”等方面都执行较好，自评得分96分。主要原因是：我局经费来源短缺，收费不断减少，造成了201</w:t>
      </w:r>
      <w:r>
        <w:rPr>
          <w:rFonts w:hint="eastAsia" w:ascii="仿宋" w:hAnsi="仿宋" w:eastAsia="仿宋"/>
          <w:color w:val="333333"/>
          <w:sz w:val="32"/>
          <w:szCs w:val="32"/>
          <w:lang w:val="en-US" w:eastAsia="zh-CN"/>
        </w:rPr>
        <w:t>9</w:t>
      </w:r>
      <w:r>
        <w:rPr>
          <w:rFonts w:hint="eastAsia" w:ascii="仿宋" w:hAnsi="仿宋" w:eastAsia="仿宋"/>
          <w:color w:val="333333"/>
          <w:sz w:val="32"/>
          <w:szCs w:val="32"/>
        </w:rPr>
        <w:t>年经费</w:t>
      </w:r>
      <w:r>
        <w:rPr>
          <w:rFonts w:hint="eastAsia" w:ascii="仿宋" w:hAnsi="仿宋" w:eastAsia="仿宋"/>
          <w:color w:val="333333"/>
          <w:sz w:val="32"/>
          <w:szCs w:val="32"/>
          <w:lang w:eastAsia="zh-CN"/>
        </w:rPr>
        <w:t>增加</w:t>
      </w:r>
      <w:r>
        <w:rPr>
          <w:rFonts w:hint="eastAsia" w:ascii="仿宋" w:hAnsi="仿宋" w:eastAsia="仿宋"/>
          <w:color w:val="333333"/>
          <w:sz w:val="32"/>
          <w:szCs w:val="32"/>
        </w:rPr>
        <w:t>。</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（三）以部门为主体开展的重点绩效评价结果。</w:t>
      </w:r>
    </w:p>
    <w:p>
      <w:pPr>
        <w:spacing w:line="600" w:lineRule="exact"/>
        <w:ind w:firstLine="640" w:firstLineChars="200"/>
        <w:rPr>
          <w:rFonts w:ascii="Calibri" w:hAnsi="Calibri"/>
          <w:color w:val="333333"/>
          <w:sz w:val="21"/>
          <w:szCs w:val="21"/>
        </w:rPr>
      </w:pPr>
      <w:r>
        <w:rPr>
          <w:rFonts w:hint="eastAsia"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年，我市棚户区改造项目货币安置</w:t>
      </w:r>
      <w:r>
        <w:rPr>
          <w:rFonts w:hint="eastAsia" w:ascii="仿宋_GB2312" w:hAnsi="仿宋" w:eastAsia="仿宋_GB2312" w:cs="仿宋"/>
          <w:sz w:val="32"/>
          <w:szCs w:val="32"/>
          <w:lang w:val="en-US" w:eastAsia="zh-CN"/>
        </w:rPr>
        <w:t>400</w:t>
      </w:r>
      <w:r>
        <w:rPr>
          <w:rFonts w:hint="eastAsia" w:ascii="仿宋_GB2312" w:hAnsi="仿宋" w:eastAsia="仿宋_GB2312" w:cs="仿宋"/>
          <w:sz w:val="32"/>
          <w:szCs w:val="32"/>
        </w:rPr>
        <w:t>户，其中</w:t>
      </w:r>
      <w:r>
        <w:rPr>
          <w:rFonts w:hint="eastAsia" w:ascii="仿宋_GB2312" w:hAnsi="仿宋" w:eastAsia="仿宋_GB2312" w:cs="仿宋"/>
          <w:sz w:val="32"/>
          <w:szCs w:val="32"/>
          <w:lang w:val="en-US" w:eastAsia="zh-CN"/>
        </w:rPr>
        <w:t>沅江市景星寺路棚户区改造项目220</w:t>
      </w:r>
      <w:r>
        <w:rPr>
          <w:rFonts w:hint="eastAsia" w:ascii="仿宋_GB2312" w:hAnsi="仿宋" w:eastAsia="仿宋_GB2312" w:cs="仿宋"/>
          <w:sz w:val="32"/>
          <w:szCs w:val="32"/>
        </w:rPr>
        <w:t>户，</w:t>
      </w:r>
      <w:r>
        <w:rPr>
          <w:rFonts w:hint="eastAsia" w:ascii="仿宋_GB2312" w:hAnsi="仿宋" w:eastAsia="仿宋_GB2312" w:cs="仿宋"/>
          <w:sz w:val="32"/>
          <w:szCs w:val="32"/>
          <w:lang w:eastAsia="zh-CN"/>
        </w:rPr>
        <w:t>沅江市金橙路棚户区改造项目</w:t>
      </w:r>
      <w:r>
        <w:rPr>
          <w:rFonts w:hint="eastAsia" w:ascii="仿宋_GB2312" w:hAnsi="仿宋" w:eastAsia="仿宋_GB2312" w:cs="仿宋"/>
          <w:sz w:val="32"/>
          <w:szCs w:val="32"/>
          <w:lang w:val="en-US" w:eastAsia="zh-CN"/>
        </w:rPr>
        <w:t>180户</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项目估计总投资</w:t>
      </w:r>
      <w:r>
        <w:rPr>
          <w:rFonts w:hint="eastAsia" w:ascii="仿宋_GB2312" w:hAnsi="仿宋" w:eastAsia="仿宋_GB2312" w:cs="仿宋"/>
          <w:sz w:val="32"/>
          <w:szCs w:val="32"/>
          <w:lang w:val="en-US" w:eastAsia="zh-CN"/>
        </w:rPr>
        <w:t>23560万元，</w:t>
      </w:r>
      <w:r>
        <w:rPr>
          <w:rFonts w:hint="eastAsia" w:ascii="仿宋_GB2312" w:hAnsi="仿宋" w:eastAsia="仿宋_GB2312" w:cs="仿宋"/>
          <w:sz w:val="32"/>
          <w:szCs w:val="32"/>
        </w:rPr>
        <w:t>目前，各项目</w:t>
      </w:r>
      <w:r>
        <w:rPr>
          <w:rFonts w:hint="eastAsia" w:ascii="仿宋_GB2312" w:hAnsi="仿宋" w:eastAsia="仿宋_GB2312" w:cs="仿宋"/>
          <w:sz w:val="32"/>
          <w:szCs w:val="32"/>
          <w:lang w:eastAsia="zh-CN"/>
        </w:rPr>
        <w:t>正在进行</w:t>
      </w:r>
      <w:r>
        <w:rPr>
          <w:rFonts w:hint="eastAsia" w:ascii="仿宋_GB2312" w:hAnsi="仿宋" w:eastAsia="仿宋_GB2312" w:cs="仿宋_GB2312"/>
          <w:sz w:val="32"/>
          <w:szCs w:val="32"/>
        </w:rPr>
        <w:t>初审，</w:t>
      </w:r>
      <w:r>
        <w:rPr>
          <w:rFonts w:hint="eastAsia" w:ascii="仿宋_GB2312" w:hAnsi="仿宋" w:eastAsia="仿宋_GB2312" w:cs="仿宋_GB2312"/>
          <w:sz w:val="32"/>
          <w:szCs w:val="32"/>
          <w:lang w:eastAsia="zh-CN"/>
        </w:rPr>
        <w:t>步入</w:t>
      </w:r>
      <w:r>
        <w:rPr>
          <w:rFonts w:hint="eastAsia" w:ascii="仿宋_GB2312" w:hAnsi="仿宋" w:eastAsia="仿宋_GB2312" w:cs="仿宋_GB2312"/>
          <w:sz w:val="32"/>
          <w:szCs w:val="32"/>
        </w:rPr>
        <w:t>紧罗密鼓的进行复审、公示等工作。住房租赁补贴共发放132.6万元，3176户。</w:t>
      </w:r>
      <w:r>
        <w:rPr>
          <w:rFonts w:hint="eastAsia" w:ascii="仿宋" w:hAnsi="仿宋" w:eastAsia="仿宋"/>
          <w:color w:val="333333"/>
          <w:sz w:val="32"/>
          <w:szCs w:val="32"/>
        </w:rPr>
        <w:t>综合评价结果为96分。</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十、其他重要事项情况说明</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（一）机关（事业）运行经费支出情况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沅江市</w:t>
      </w:r>
      <w:r>
        <w:rPr>
          <w:rFonts w:hint="eastAsia" w:ascii="仿宋" w:hAnsi="仿宋" w:eastAsia="仿宋"/>
          <w:color w:val="333333"/>
          <w:sz w:val="32"/>
          <w:szCs w:val="32"/>
          <w:lang w:eastAsia="zh-CN"/>
        </w:rPr>
        <w:t>住房保障服务中心</w:t>
      </w:r>
      <w:r>
        <w:rPr>
          <w:rFonts w:hint="eastAsia" w:ascii="仿宋" w:hAnsi="仿宋" w:eastAsia="仿宋"/>
          <w:color w:val="333333"/>
          <w:sz w:val="32"/>
          <w:szCs w:val="32"/>
        </w:rPr>
        <w:t>单位性质为财政补助事业单位，部门决算报表没有机关（事业）运行经费统计数据。主要原因是：机关（事业）运行经费列入了一般公共支出。</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（二）政府采购支出情情况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本年度政府采购计划采购总额350.44万元，其中：工程350.44万元；本年度政府采购实际采购总额348.87万元，其中：工程348.87万元；</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（三）国有资产占有情况</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本单位年末共有车辆</w:t>
      </w:r>
      <w:r>
        <w:rPr>
          <w:rFonts w:hint="eastAsia" w:ascii="仿宋" w:hAnsi="仿宋" w:eastAsia="仿宋"/>
          <w:color w:val="333333"/>
          <w:sz w:val="32"/>
          <w:szCs w:val="32"/>
          <w:lang w:val="en-US" w:eastAsia="zh-CN"/>
        </w:rPr>
        <w:t>0</w:t>
      </w:r>
      <w:r>
        <w:rPr>
          <w:rFonts w:hint="eastAsia" w:ascii="仿宋" w:hAnsi="仿宋" w:eastAsia="仿宋"/>
          <w:color w:val="333333"/>
          <w:sz w:val="32"/>
          <w:szCs w:val="32"/>
        </w:rPr>
        <w:t>辆。年末无单价50万元以上通用设备。年末无单价100万元以上通用设备。</w:t>
      </w:r>
      <w:bookmarkStart w:id="0" w:name="_GoBack"/>
      <w:bookmarkEnd w:id="0"/>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第四部分 名词解释</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财政拨款收入：指本级财政当年拨付的资金。</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其他收入：指除上述“财政拨款收入”、“上级补助收入”、“事业收入”、“经营收入”、“附属单位上缴收入”等以外的收入。</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上年结转和结余：指以前年度尚未完成、结转到本年按有关规定继续使用的资金。</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年末结转和结余资金：指本年度或以前年度预算安排、因客观条件发生变化无法按原计划实施，需要延迟到以后年度按有关规定继续使用的资金。</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_</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城乡社区支出（类）：是指用于城乡社区事务支出，包括保障机构正常运转、完成日常和特定的工作任务或事业发展目标的支出。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住房保障支出（类）：是指用于住房方面的支出，包括保障机构正常运转、完成日常和特定的工作任务或事业发展目标的支出。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基本支出：指保障机构正常运转、完成支日常工作任务而发生的人员支出和公用支出。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项目支出：指在基本支出之外为完成特定行政任务和事业发展目标所发生的支出。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_</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工资福利支出：反映单位开支的在职职工和编制外长期聘用人员的各类劳动报酬，以及为上述人员缴纳的各项社会保险费等。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津贴补贴：反映经国家批准建立的机关事业单位艰苦边远地区津贴、机关工作人员地区附加津贴、机关工作人员岗位津贴、事业单位工作人员特殊岗位津贴补贴等。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绩效工资：反映事业单位工作人员的绩效工资。</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机关事业单位基本养老保险缴费：反映机关事业单位缴纳的基本养老保险费。由单位代扣的工作人员基本养老保险缴费，不在此科目反映。</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职业年金缴费：反映机关事业单位实际缴纳的职业年金支出。由单位代扣的工作人员职业年金缴费，不在此科目反映。</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职工基本医疗保险缴费：反映单位为职工缴纳的基本医疗保险费。</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其他社会保障缴费：反映单位为职工缴纳的基本医疗、失业、工伤、生育等社会保险费，残疾人就业保障金，军队（含武警）为军人缴纳的伤亡、退役医疗等社会保险费。</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住房公积金：反映行政事业单位按人力资源和社会保障部、财政部规定的基本工资和津贴补贴以及规定比例为职工缴纳的住房公积金。</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商品和服务支出：反映单位购买商品和服务的支出（不包括用于购置固定资产的支出、战略性和应急储备支出）。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办公费：反映单位购买按财务会计制度规定不符合固定资产确认标准的日常办公用品、书报杂志等支出。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印刷费：反映单位的印刷费支出。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水费：反映单位支付的水费、污水处理费等支出。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电费：反映单位的电费支出。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邮电费：反映单位开支的信函、包裹、货物等物品的邮寄费及电话费、电报费、传真费、网络通讯费等。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差旅费：反映单位工作人员出差发生的城市间交通费、住宿费、伙食补贴费和市内交通费。</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维修(护)费：反映单位日常开支的固定资产（不包括车船等交通工具）修理和维护费用，网络信息系统运行与维护费用，以及按规定提取的修购基金。</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会议费：反映会议中按规定开支的住宿费、伙食费、会议室租金、交通费、文件印刷费、医药费等。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培训费：反映除因公出国（境）培训费以外的各类培训支出。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公务接待费：反映单位按规定开支的各类公务接待（含外宾接待）费用。</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工会经费：反映单位按规定提取的工会经费。</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公务用车运行维护费：反映单位按规定保留的公务用车燃料费、维修费、过桥过路费、保险费、安全奖励费用等支出。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其他交通费用：反映单位除公务用车运行维护费以外的其他交通费用。如公务交通补贴，租车费用、出租车费用，飞机、船舶等的燃料费、维修费、保险费等。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税金及附加费用：反映单位提供劳务或销售产品应负担的税金及附加费用，包括营业税、消费税、城市维护建设税、资源税和教育附加等。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其他商品和服务支出：反映上述科目未包括的日常公用支出。如行政赔偿费和诉讼费、国内组织的会员费、来访费、广告宣传、其他劳务费及离休人员特需费、公用经费等。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对个人和家庭的补助：反映政府用于对个人和家庭的补助支出。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退休费：反映行政事业单位和军队移交政府安置的退休人员的退休费和其他补贴。</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抚恤金：反映按规定开支的烈士遗属、牺牲病故人员遗属的一次性和定期抚恤金，伤残人员的抚恤金，离退休人员等其他人员的各项抚恤金。</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奖励金：反映政府各部门的奖励支出，如对个体私营经济的奖励、计划生育目标责任奖励、独生子女父母奖励等。</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办公设备购置：反映用于购置并按财务会计制度规定纳入固定资产核算范围的办公家具和办公设备的支出，以及按规定提取的修购基金。</w:t>
      </w:r>
    </w:p>
    <w:p>
      <w:pPr>
        <w:pStyle w:val="3"/>
        <w:shd w:val="clear" w:color="auto" w:fill="FFFFFF"/>
        <w:spacing w:before="0" w:beforeAutospacing="0" w:after="0" w:afterAutospacing="0" w:line="334" w:lineRule="atLeast"/>
        <w:ind w:firstLine="480"/>
        <w:jc w:val="both"/>
        <w:rPr>
          <w:rFonts w:ascii="Calibri" w:hAnsi="Calibri"/>
          <w:b/>
          <w:bCs/>
          <w:color w:val="333333"/>
          <w:sz w:val="21"/>
          <w:szCs w:val="21"/>
        </w:rPr>
      </w:pPr>
      <w:r>
        <w:rPr>
          <w:rFonts w:hint="eastAsia" w:ascii="仿宋" w:hAnsi="仿宋" w:eastAsia="仿宋"/>
          <w:b/>
          <w:bCs/>
          <w:color w:val="333333"/>
          <w:sz w:val="32"/>
          <w:szCs w:val="32"/>
        </w:rPr>
        <w:t>第五部分 附件</w:t>
      </w:r>
    </w:p>
    <w:p>
      <w:pPr>
        <w:pStyle w:val="3"/>
        <w:shd w:val="clear" w:color="auto" w:fill="FFFFFF"/>
        <w:spacing w:before="0" w:beforeAutospacing="0" w:after="0" w:afterAutospacing="0" w:line="334" w:lineRule="atLeast"/>
        <w:ind w:firstLine="480"/>
        <w:jc w:val="both"/>
        <w:rPr>
          <w:rFonts w:ascii="Calibri" w:hAnsi="Calibri"/>
          <w:color w:val="333333"/>
          <w:sz w:val="21"/>
          <w:szCs w:val="21"/>
        </w:rPr>
      </w:pPr>
      <w:r>
        <w:rPr>
          <w:rFonts w:hint="eastAsia" w:ascii="仿宋" w:hAnsi="仿宋" w:eastAsia="仿宋"/>
          <w:color w:val="333333"/>
          <w:sz w:val="32"/>
          <w:szCs w:val="32"/>
        </w:rPr>
        <w:t>附件：</w:t>
      </w:r>
      <w:r>
        <w:rPr>
          <w:rFonts w:ascii="仿宋" w:hAnsi="仿宋" w:eastAsia="仿宋"/>
          <w:color w:val="333333"/>
          <w:sz w:val="32"/>
          <w:szCs w:val="32"/>
        </w:rPr>
        <w:drawing>
          <wp:inline distT="0" distB="0" distL="0" distR="0">
            <wp:extent cx="153670" cy="153670"/>
            <wp:effectExtent l="19050" t="0" r="0" b="0"/>
            <wp:docPr id="1" name="图片 1" descr="http://www.yuanjiang.gov.cn/creatorCMS/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yuanjiang.gov.cn/creatorCMS/eWebEditor/sysimage/icon16/xls.gif"/>
                    <pic:cNvPicPr>
                      <a:picLocks noChangeAspect="1" noChangeArrowheads="1"/>
                    </pic:cNvPicPr>
                  </pic:nvPicPr>
                  <pic:blipFill>
                    <a:blip r:embed="rId4"/>
                    <a:srcRect/>
                    <a:stretch>
                      <a:fillRect/>
                    </a:stretch>
                  </pic:blipFill>
                  <pic:spPr>
                    <a:xfrm>
                      <a:off x="0" y="0"/>
                      <a:ext cx="153670" cy="153670"/>
                    </a:xfrm>
                    <a:prstGeom prst="rect">
                      <a:avLst/>
                    </a:prstGeom>
                    <a:noFill/>
                    <a:ln w="9525">
                      <a:noFill/>
                      <a:miter lim="800000"/>
                      <a:headEnd/>
                      <a:tailEnd/>
                    </a:ln>
                  </pic:spPr>
                </pic:pic>
              </a:graphicData>
            </a:graphic>
          </wp:inline>
        </w:drawing>
      </w:r>
      <w:r>
        <w:fldChar w:fldCharType="begin"/>
      </w:r>
      <w:r>
        <w:instrText xml:space="preserve"> HYPERLINK "http://www.yuanjiang.gov.cn/uploadfiles/202002/20200218152723459.xls" \t "_blank" </w:instrText>
      </w:r>
      <w:r>
        <w:fldChar w:fldCharType="separate"/>
      </w:r>
      <w:r>
        <w:rPr>
          <w:rStyle w:val="6"/>
          <w:rFonts w:hint="eastAsia" w:ascii="仿宋" w:hAnsi="仿宋" w:eastAsia="仿宋"/>
          <w:color w:val="333333"/>
          <w:sz w:val="32"/>
          <w:szCs w:val="32"/>
          <w:u w:val="none"/>
        </w:rPr>
        <w:t>201</w:t>
      </w:r>
      <w:r>
        <w:rPr>
          <w:rStyle w:val="6"/>
          <w:rFonts w:hint="eastAsia" w:ascii="仿宋" w:hAnsi="仿宋" w:eastAsia="仿宋"/>
          <w:color w:val="333333"/>
          <w:sz w:val="32"/>
          <w:szCs w:val="32"/>
          <w:u w:val="none"/>
          <w:lang w:val="en-US" w:eastAsia="zh-CN"/>
        </w:rPr>
        <w:t>9</w:t>
      </w:r>
      <w:r>
        <w:rPr>
          <w:rStyle w:val="6"/>
          <w:rFonts w:hint="eastAsia" w:ascii="仿宋" w:hAnsi="仿宋" w:eastAsia="仿宋"/>
          <w:color w:val="333333"/>
          <w:sz w:val="32"/>
          <w:szCs w:val="32"/>
          <w:u w:val="none"/>
        </w:rPr>
        <w:t>年决算公开表.xls</w:t>
      </w:r>
      <w:r>
        <w:rPr>
          <w:rStyle w:val="6"/>
          <w:rFonts w:hint="eastAsia" w:ascii="仿宋" w:hAnsi="仿宋" w:eastAsia="仿宋"/>
          <w:color w:val="333333"/>
          <w:sz w:val="32"/>
          <w:szCs w:val="32"/>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6D4C"/>
    <w:rsid w:val="00716D4C"/>
    <w:rsid w:val="00985B57"/>
    <w:rsid w:val="3943073C"/>
    <w:rsid w:val="3F540D13"/>
    <w:rsid w:val="40CA70B9"/>
    <w:rsid w:val="589A3AE6"/>
    <w:rsid w:val="685C0436"/>
    <w:rsid w:val="6AA9747D"/>
    <w:rsid w:val="772D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1017</Words>
  <Characters>5797</Characters>
  <Lines>48</Lines>
  <Paragraphs>13</Paragraphs>
  <TotalTime>8</TotalTime>
  <ScaleCrop>false</ScaleCrop>
  <LinksUpToDate>false</LinksUpToDate>
  <CharactersWithSpaces>6801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2020-02-20T09:13:00Z</dcterms:created>
  <dc:creator>ymdl</dc:creator>
  <cp:lastModifiedBy>WPS_1559610793</cp:lastModifiedBy>
  <dcterms:modified xsi:type="dcterms:W3CDTF">2020-11-30T03:11:07Z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