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6" w:rsidRDefault="006B1886" w:rsidP="0044630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沅江市</w:t>
      </w:r>
      <w:r w:rsidR="003F4129">
        <w:rPr>
          <w:rFonts w:ascii="黑体" w:eastAsia="黑体" w:hAnsi="黑体" w:hint="eastAsia"/>
          <w:sz w:val="36"/>
          <w:szCs w:val="36"/>
        </w:rPr>
        <w:t>流浪乞讨人员救助站</w:t>
      </w:r>
    </w:p>
    <w:p w:rsidR="00AD68BF" w:rsidRPr="00446305" w:rsidRDefault="00AD68BF" w:rsidP="00446305">
      <w:pPr>
        <w:jc w:val="center"/>
        <w:rPr>
          <w:rFonts w:ascii="黑体" w:eastAsia="黑体" w:hAnsi="黑体"/>
          <w:sz w:val="36"/>
          <w:szCs w:val="36"/>
        </w:rPr>
      </w:pPr>
      <w:r w:rsidRPr="00446305">
        <w:rPr>
          <w:rFonts w:ascii="黑体" w:eastAsia="黑体" w:hAnsi="黑体"/>
          <w:sz w:val="36"/>
          <w:szCs w:val="36"/>
        </w:rPr>
        <w:t>201</w:t>
      </w:r>
      <w:r w:rsidR="004B6A41">
        <w:rPr>
          <w:rFonts w:ascii="黑体" w:eastAsia="黑体" w:hAnsi="黑体"/>
          <w:sz w:val="36"/>
          <w:szCs w:val="36"/>
        </w:rPr>
        <w:t>9</w:t>
      </w:r>
      <w:r w:rsidRPr="00446305">
        <w:rPr>
          <w:rFonts w:ascii="黑体" w:eastAsia="黑体" w:hAnsi="黑体" w:hint="eastAsia"/>
          <w:sz w:val="36"/>
          <w:szCs w:val="36"/>
        </w:rPr>
        <w:t>年度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整体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支出绩效自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评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报告</w:t>
      </w:r>
    </w:p>
    <w:p w:rsidR="00AD68BF" w:rsidRDefault="00AD68BF">
      <w:pPr>
        <w:jc w:val="left"/>
        <w:rPr>
          <w:rFonts w:ascii="黑体" w:eastAsia="黑体" w:hAnsi="黑体"/>
          <w:b/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部门基本情况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机构设置情况：沅江市</w:t>
      </w:r>
      <w:r w:rsidR="003F4129">
        <w:rPr>
          <w:rFonts w:ascii="仿宋" w:eastAsia="仿宋" w:hAnsi="仿宋" w:hint="eastAsia"/>
          <w:sz w:val="30"/>
          <w:szCs w:val="24"/>
        </w:rPr>
        <w:t>流浪乞讨人员救助站</w:t>
      </w:r>
      <w:r>
        <w:rPr>
          <w:rFonts w:ascii="仿宋" w:eastAsia="仿宋" w:hAnsi="仿宋" w:hint="eastAsia"/>
          <w:sz w:val="30"/>
          <w:szCs w:val="24"/>
        </w:rPr>
        <w:t>是民政局下属的二级事业单位。</w:t>
      </w:r>
    </w:p>
    <w:p w:rsidR="00484FBC" w:rsidRPr="00484FBC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人员情况：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根据编委核定，</w:t>
      </w:r>
      <w:r w:rsidR="00484FBC">
        <w:rPr>
          <w:rFonts w:ascii="仿宋" w:eastAsia="仿宋" w:hAnsi="仿宋" w:hint="eastAsia"/>
          <w:color w:val="000000"/>
          <w:kern w:val="0"/>
          <w:sz w:val="30"/>
          <w:szCs w:val="24"/>
        </w:rPr>
        <w:t>沅</w:t>
      </w:r>
      <w:r w:rsidR="00484FBC">
        <w:rPr>
          <w:rFonts w:ascii="仿宋" w:eastAsia="仿宋" w:hAnsi="仿宋" w:hint="eastAsia"/>
          <w:sz w:val="30"/>
          <w:szCs w:val="24"/>
        </w:rPr>
        <w:t>江市</w:t>
      </w:r>
      <w:r w:rsidR="003F4129">
        <w:rPr>
          <w:rFonts w:ascii="仿宋" w:eastAsia="仿宋" w:hAnsi="仿宋" w:hint="eastAsia"/>
          <w:sz w:val="30"/>
          <w:szCs w:val="24"/>
        </w:rPr>
        <w:t>流浪乞讨人员救助站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所属事业编</w:t>
      </w:r>
      <w:r w:rsidR="00DF5827">
        <w:rPr>
          <w:rFonts w:ascii="仿宋" w:eastAsia="仿宋" w:hAnsi="仿宋"/>
          <w:color w:val="000000"/>
          <w:kern w:val="0"/>
          <w:sz w:val="30"/>
          <w:szCs w:val="24"/>
        </w:rPr>
        <w:t>11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人，在职人员</w:t>
      </w:r>
      <w:r w:rsidR="00DF5827">
        <w:rPr>
          <w:rFonts w:ascii="仿宋" w:eastAsia="仿宋" w:hAnsi="仿宋"/>
          <w:color w:val="000000"/>
          <w:kern w:val="0"/>
          <w:sz w:val="30"/>
          <w:szCs w:val="24"/>
        </w:rPr>
        <w:t>9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人，退休人员</w:t>
      </w:r>
      <w:r w:rsidR="003F4129">
        <w:rPr>
          <w:rFonts w:ascii="仿宋" w:eastAsia="仿宋" w:hAnsi="仿宋"/>
          <w:color w:val="000000"/>
          <w:kern w:val="0"/>
          <w:sz w:val="30"/>
          <w:szCs w:val="24"/>
        </w:rPr>
        <w:t>2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人，全部纳入</w:t>
      </w:r>
      <w:r>
        <w:rPr>
          <w:rFonts w:ascii="仿宋" w:eastAsia="仿宋" w:hAnsi="仿宋"/>
          <w:color w:val="000000"/>
          <w:kern w:val="0"/>
          <w:sz w:val="30"/>
          <w:szCs w:val="24"/>
        </w:rPr>
        <w:t>201</w:t>
      </w:r>
      <w:r w:rsidR="00DF5827">
        <w:rPr>
          <w:rFonts w:ascii="仿宋" w:eastAsia="仿宋" w:hAnsi="仿宋"/>
          <w:color w:val="000000"/>
          <w:kern w:val="0"/>
          <w:sz w:val="30"/>
          <w:szCs w:val="24"/>
        </w:rPr>
        <w:t>9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年部门决算编制范围。</w:t>
      </w:r>
    </w:p>
    <w:p w:rsidR="00A03569" w:rsidRPr="00A03569" w:rsidRDefault="00AD68BF" w:rsidP="00A03569">
      <w:pPr>
        <w:numPr>
          <w:ilvl w:val="0"/>
          <w:numId w:val="2"/>
        </w:numPr>
        <w:spacing w:before="300" w:after="300" w:line="420" w:lineRule="atLeast"/>
        <w:jc w:val="left"/>
        <w:rPr>
          <w:rFonts w:ascii="仿宋" w:eastAsia="仿宋" w:hAnsi="仿宋"/>
          <w:sz w:val="30"/>
          <w:szCs w:val="24"/>
        </w:rPr>
      </w:pPr>
      <w:r w:rsidRPr="00A03569">
        <w:rPr>
          <w:rFonts w:ascii="仿宋" w:eastAsia="仿宋" w:hAnsi="仿宋" w:hint="eastAsia"/>
          <w:color w:val="000000"/>
          <w:kern w:val="0"/>
          <w:sz w:val="30"/>
          <w:szCs w:val="24"/>
        </w:rPr>
        <w:t>工作职责：</w:t>
      </w:r>
      <w:r w:rsidR="00E56910">
        <w:rPr>
          <w:rFonts w:ascii="Arial" w:hAnsi="Arial" w:cs="Arial" w:hint="eastAsia"/>
          <w:color w:val="3E3E3E"/>
          <w:sz w:val="27"/>
          <w:szCs w:val="27"/>
        </w:rPr>
        <w:t>负责城市流浪乞讨人员的救助管理工作</w:t>
      </w:r>
      <w:r w:rsidR="00E56910">
        <w:rPr>
          <w:rFonts w:ascii="Arial" w:hAnsi="Arial" w:cs="Arial"/>
          <w:color w:val="3E3E3E"/>
          <w:sz w:val="27"/>
          <w:szCs w:val="27"/>
        </w:rPr>
        <w:t>;</w:t>
      </w:r>
      <w:r w:rsidR="00E56910">
        <w:rPr>
          <w:rFonts w:ascii="Arial" w:hAnsi="Arial" w:cs="Arial" w:hint="eastAsia"/>
          <w:color w:val="3E3E3E"/>
          <w:sz w:val="27"/>
          <w:szCs w:val="27"/>
        </w:rPr>
        <w:t>对符合条件的人员及时提供救助</w:t>
      </w:r>
      <w:r w:rsidR="00E56910">
        <w:rPr>
          <w:rFonts w:ascii="Arial" w:hAnsi="Arial" w:cs="Arial"/>
          <w:color w:val="3E3E3E"/>
          <w:sz w:val="27"/>
          <w:szCs w:val="27"/>
        </w:rPr>
        <w:t>;</w:t>
      </w:r>
      <w:r w:rsidR="00E56910">
        <w:rPr>
          <w:rFonts w:ascii="Arial" w:hAnsi="Arial" w:cs="Arial" w:hint="eastAsia"/>
          <w:color w:val="3E3E3E"/>
          <w:sz w:val="27"/>
          <w:szCs w:val="27"/>
        </w:rPr>
        <w:t>本着自愿求助，无偿救助的原则对救助人员进行救助</w:t>
      </w:r>
      <w:r w:rsidR="00E56910">
        <w:rPr>
          <w:rFonts w:ascii="Arial" w:hAnsi="Arial" w:cs="Arial"/>
          <w:color w:val="3E3E3E"/>
          <w:sz w:val="27"/>
          <w:szCs w:val="27"/>
        </w:rPr>
        <w:t>;</w:t>
      </w:r>
      <w:r w:rsidR="00A03569" w:rsidRPr="00A03569">
        <w:rPr>
          <w:rFonts w:ascii="Arial" w:hAnsi="Arial" w:cs="Arial" w:hint="eastAsia"/>
          <w:color w:val="3E3E3E"/>
          <w:sz w:val="27"/>
          <w:szCs w:val="27"/>
        </w:rPr>
        <w:t>向求助的流浪乞讨人员告知救助对象的范围和</w:t>
      </w:r>
      <w:r w:rsidR="00E56910">
        <w:rPr>
          <w:rFonts w:ascii="Arial" w:hAnsi="Arial" w:cs="Arial" w:hint="eastAsia"/>
          <w:color w:val="3E3E3E"/>
          <w:sz w:val="27"/>
          <w:szCs w:val="27"/>
        </w:rPr>
        <w:t>实施救助的内容，向求助的流浪乞讨人员提供符合食品卫生要求的食物</w:t>
      </w:r>
      <w:r w:rsidR="00E56910">
        <w:rPr>
          <w:rFonts w:ascii="Arial" w:hAnsi="Arial" w:cs="Arial"/>
          <w:color w:val="3E3E3E"/>
          <w:sz w:val="27"/>
          <w:szCs w:val="27"/>
        </w:rPr>
        <w:t>;</w:t>
      </w:r>
      <w:r w:rsidR="00A03569" w:rsidRPr="00A03569">
        <w:rPr>
          <w:rFonts w:ascii="Arial" w:hAnsi="Arial" w:cs="Arial" w:hint="eastAsia"/>
          <w:color w:val="3E3E3E"/>
          <w:sz w:val="27"/>
          <w:szCs w:val="27"/>
        </w:rPr>
        <w:t>帮助受助人员与其亲属或者流出地民政部门联系，文明接待，热情服务，二十四小时内完成核实登记、建档工作</w:t>
      </w:r>
      <w:r w:rsidR="00E56910">
        <w:rPr>
          <w:rFonts w:ascii="Arial" w:hAnsi="Arial" w:cs="Arial"/>
          <w:color w:val="3E3E3E"/>
          <w:sz w:val="27"/>
          <w:szCs w:val="27"/>
        </w:rPr>
        <w:t>;</w:t>
      </w:r>
      <w:r w:rsidR="00A03569" w:rsidRPr="00A03569">
        <w:rPr>
          <w:rFonts w:ascii="Arial" w:hAnsi="Arial" w:cs="Arial" w:hint="eastAsia"/>
          <w:color w:val="3E3E3E"/>
          <w:sz w:val="27"/>
          <w:szCs w:val="27"/>
        </w:rPr>
        <w:t>对未成年人及行动不便的老年人等特定流浪乞讨对象，实施主动救助和帮教，对在站内突发急病的求助流浪乞讨人员及时送医院救治。</w:t>
      </w:r>
    </w:p>
    <w:p w:rsidR="00AD68BF" w:rsidRDefault="00AD68BF">
      <w:pPr>
        <w:numPr>
          <w:ilvl w:val="0"/>
          <w:numId w:val="1"/>
        </w:numPr>
        <w:shd w:val="clear" w:color="auto" w:fill="FFFFFF"/>
        <w:spacing w:line="560" w:lineRule="atLeast"/>
        <w:jc w:val="left"/>
        <w:rPr>
          <w:rStyle w:val="a3"/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部门整体支出管理及使用情况</w:t>
      </w:r>
    </w:p>
    <w:p w:rsidR="00AD68BF" w:rsidRPr="00AD68BF" w:rsidRDefault="00AD68BF" w:rsidP="00AD68BF">
      <w:pPr>
        <w:ind w:firstLineChars="257" w:firstLine="77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24"/>
        </w:rPr>
        <w:t>（一）基本支出的管理和使用情况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  </w:t>
      </w:r>
      <w:r w:rsidRPr="00AD68BF">
        <w:rPr>
          <w:rFonts w:ascii="仿宋" w:eastAsia="仿宋" w:hAnsi="仿宋"/>
          <w:sz w:val="30"/>
          <w:szCs w:val="30"/>
        </w:rPr>
        <w:t xml:space="preserve"> 1</w:t>
      </w:r>
      <w:r w:rsidRPr="00AD68BF">
        <w:rPr>
          <w:rFonts w:ascii="仿宋" w:eastAsia="仿宋" w:hAnsi="仿宋" w:hint="eastAsia"/>
          <w:sz w:val="30"/>
          <w:szCs w:val="30"/>
        </w:rPr>
        <w:t>、整体支出情况。</w:t>
      </w:r>
      <w:r w:rsidRPr="00AD68BF">
        <w:rPr>
          <w:rFonts w:ascii="仿宋" w:eastAsia="仿宋" w:hAnsi="仿宋"/>
          <w:sz w:val="30"/>
          <w:szCs w:val="30"/>
        </w:rPr>
        <w:t>201</w:t>
      </w:r>
      <w:r w:rsidR="00DF5827">
        <w:rPr>
          <w:rFonts w:ascii="仿宋" w:eastAsia="仿宋" w:hAnsi="仿宋"/>
          <w:sz w:val="30"/>
          <w:szCs w:val="30"/>
        </w:rPr>
        <w:t>9</w:t>
      </w:r>
      <w:r w:rsidRPr="00AD68BF">
        <w:rPr>
          <w:rFonts w:ascii="仿宋" w:eastAsia="仿宋" w:hAnsi="仿宋" w:hint="eastAsia"/>
          <w:sz w:val="30"/>
          <w:szCs w:val="30"/>
        </w:rPr>
        <w:t>年度公共预算财政拨款收入总计</w:t>
      </w:r>
      <w:r w:rsidR="00926BDD">
        <w:rPr>
          <w:rFonts w:ascii="仿宋" w:eastAsia="仿宋" w:hAnsi="仿宋"/>
          <w:sz w:val="30"/>
          <w:szCs w:val="30"/>
        </w:rPr>
        <w:t>167.922</w:t>
      </w:r>
      <w:r w:rsidRPr="00AD68BF">
        <w:rPr>
          <w:rFonts w:ascii="仿宋" w:eastAsia="仿宋" w:hAnsi="仿宋" w:hint="eastAsia"/>
          <w:sz w:val="30"/>
          <w:szCs w:val="30"/>
        </w:rPr>
        <w:t>万元，公共预算财政拨款支出</w:t>
      </w:r>
      <w:r w:rsidR="00926BDD">
        <w:rPr>
          <w:rFonts w:ascii="仿宋" w:eastAsia="仿宋" w:hAnsi="仿宋"/>
          <w:sz w:val="30"/>
          <w:szCs w:val="30"/>
        </w:rPr>
        <w:t>167.922</w:t>
      </w:r>
      <w:r w:rsidRPr="00AD68BF">
        <w:rPr>
          <w:rFonts w:ascii="仿宋" w:eastAsia="仿宋" w:hAnsi="仿宋" w:hint="eastAsia"/>
          <w:sz w:val="30"/>
          <w:szCs w:val="30"/>
        </w:rPr>
        <w:t>万元。</w:t>
      </w:r>
    </w:p>
    <w:p w:rsidR="00B156D5" w:rsidRPr="00446305" w:rsidRDefault="00AD68BF" w:rsidP="00B156D5">
      <w:pPr>
        <w:ind w:firstLineChars="300" w:firstLine="900"/>
        <w:rPr>
          <w:rFonts w:ascii="仿宋" w:eastAsia="仿宋" w:hAnsi="仿宋" w:cs="宋体"/>
          <w:kern w:val="0"/>
          <w:sz w:val="30"/>
          <w:szCs w:val="30"/>
        </w:rPr>
      </w:pPr>
      <w:r w:rsidRPr="00B156D5">
        <w:rPr>
          <w:rFonts w:ascii="仿宋" w:eastAsia="仿宋" w:hAnsi="仿宋"/>
          <w:sz w:val="30"/>
          <w:szCs w:val="30"/>
        </w:rPr>
        <w:t>2</w:t>
      </w:r>
      <w:r w:rsidRPr="00B156D5">
        <w:rPr>
          <w:rFonts w:ascii="仿宋" w:eastAsia="仿宋" w:hAnsi="仿宋" w:hint="eastAsia"/>
          <w:sz w:val="30"/>
          <w:szCs w:val="30"/>
        </w:rPr>
        <w:t>、一般公共预算财政拨款支出情况</w:t>
      </w:r>
      <w:r w:rsidRPr="00446305">
        <w:rPr>
          <w:rFonts w:ascii="仿宋" w:eastAsia="仿宋" w:hAnsi="仿宋" w:hint="eastAsia"/>
          <w:sz w:val="30"/>
          <w:szCs w:val="30"/>
        </w:rPr>
        <w:t>。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社会保障和就业支出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161.448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,</w:t>
      </w:r>
      <w:r w:rsidR="00B156D5" w:rsidRPr="00B156D5">
        <w:rPr>
          <w:rFonts w:ascii="仿宋" w:eastAsia="仿宋" w:hAnsi="仿宋" w:cs="宋体" w:hint="eastAsia"/>
          <w:kern w:val="0"/>
          <w:sz w:val="30"/>
          <w:szCs w:val="30"/>
        </w:rPr>
        <w:t>住房保障支出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6.474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;</w:t>
      </w:r>
    </w:p>
    <w:p w:rsidR="009C5314" w:rsidRDefault="00B156D5" w:rsidP="00741755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6305">
        <w:rPr>
          <w:rFonts w:ascii="仿宋" w:eastAsia="仿宋" w:hAnsi="仿宋" w:cs="宋体"/>
          <w:kern w:val="0"/>
          <w:sz w:val="30"/>
          <w:szCs w:val="30"/>
        </w:rPr>
        <w:t>(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 w:rsidRPr="00446305">
        <w:rPr>
          <w:rFonts w:ascii="仿宋" w:eastAsia="仿宋" w:hAnsi="仿宋" w:cs="宋体"/>
          <w:kern w:val="0"/>
          <w:sz w:val="30"/>
          <w:szCs w:val="30"/>
        </w:rPr>
        <w:t>)</w:t>
      </w:r>
      <w:r w:rsidRPr="00B156D5">
        <w:rPr>
          <w:rFonts w:ascii="仿宋" w:eastAsia="仿宋" w:hAnsi="仿宋" w:cs="宋体" w:hint="eastAsia"/>
          <w:kern w:val="0"/>
          <w:sz w:val="30"/>
          <w:szCs w:val="30"/>
        </w:rPr>
        <w:t>基本支出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95.122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Pr="00446305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926BDD">
        <w:rPr>
          <w:rFonts w:ascii="仿宋" w:eastAsia="仿宋" w:hAnsi="仿宋" w:cs="宋体"/>
          <w:kern w:val="0"/>
          <w:sz w:val="30"/>
          <w:szCs w:val="30"/>
        </w:rPr>
        <w:t>,</w:t>
      </w:r>
      <w:r w:rsidR="00926BDD">
        <w:rPr>
          <w:rFonts w:ascii="仿宋" w:eastAsia="仿宋" w:hAnsi="仿宋" w:cs="宋体" w:hint="eastAsia"/>
          <w:kern w:val="0"/>
          <w:sz w:val="30"/>
          <w:szCs w:val="30"/>
        </w:rPr>
        <w:t>其中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工资福利支出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75.822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Pr="00446305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商品和服务支出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19.30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9C5314" w:rsidP="009C5314">
      <w:pPr>
        <w:ind w:firstLineChars="200"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项目支出</w:t>
      </w:r>
      <w:r w:rsidR="00926BDD">
        <w:rPr>
          <w:rFonts w:ascii="仿宋" w:eastAsia="仿宋" w:hAnsi="仿宋" w:cs="宋体"/>
          <w:kern w:val="0"/>
          <w:sz w:val="30"/>
          <w:szCs w:val="30"/>
        </w:rPr>
        <w:t>72.80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741755" w:rsidP="00741755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926BDD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年“三公”经费预算数</w:t>
      </w:r>
      <w:r w:rsidR="00926BD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926BDD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万元，差旅费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0,</w:t>
      </w:r>
      <w:r w:rsidRPr="00446305">
        <w:rPr>
          <w:rFonts w:ascii="仿宋" w:eastAsia="仿宋" w:hAnsi="仿宋"/>
        </w:rPr>
        <w:t xml:space="preserve"> 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水电费</w:t>
      </w:r>
      <w:r w:rsidR="00484FBC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万元，维修、会议、工会等</w:t>
      </w:r>
      <w:r w:rsidRPr="00446305">
        <w:rPr>
          <w:rFonts w:ascii="仿宋" w:eastAsia="仿宋" w:hAnsi="仿宋"/>
          <w:sz w:val="30"/>
          <w:szCs w:val="30"/>
        </w:rPr>
        <w:t>0</w:t>
      </w:r>
      <w:r w:rsidRPr="00446305">
        <w:rPr>
          <w:rFonts w:ascii="仿宋" w:eastAsia="仿宋" w:hAnsi="仿宋" w:hint="eastAsia"/>
          <w:sz w:val="30"/>
          <w:szCs w:val="30"/>
        </w:rPr>
        <w:t>万元；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公务用车购置及运行维护费</w:t>
      </w:r>
      <w:r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万元，在其他收入中列支，“三公”经费预算与上年下降。</w:t>
      </w:r>
    </w:p>
    <w:p w:rsidR="00B156D5" w:rsidRPr="00B156D5" w:rsidRDefault="00B156D5" w:rsidP="00B156D5">
      <w:pPr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AD68BF" w:rsidRDefault="00AD68BF">
      <w:pPr>
        <w:jc w:val="left"/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三、部门整体支出绩效情况</w:t>
      </w:r>
    </w:p>
    <w:p w:rsidR="00AD68BF" w:rsidRDefault="00AD68BF" w:rsidP="00B156D5">
      <w:pPr>
        <w:ind w:firstLineChars="250" w:firstLine="7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、认真执行了年初部门预算和财政政策要求。工作经费安排严格按照年初预算来执行，有效防止了超预算；认真学习财经法规，严格执行财经纪律，防止了违法违纪行为的发生；认真落实了有关资金要求。</w:t>
      </w:r>
    </w:p>
    <w:p w:rsidR="00AD68BF" w:rsidRDefault="00AD68BF" w:rsidP="00B156D5">
      <w:pPr>
        <w:ind w:firstLineChars="200" w:firstLine="60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、保障了单位有效运转。严格按照厉行节约的要求，精打细算，规范单位事务管理工作，提高服务质量，降低运行成本，合理配置，提高保障能力。</w:t>
      </w:r>
    </w:p>
    <w:p w:rsidR="00AD68BF" w:rsidRDefault="00AD68B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四、部门</w:t>
      </w:r>
      <w:r w:rsidR="000A331A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整体支出</w:t>
      </w: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　总的来说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 w:rsidR="008D79EF">
        <w:rPr>
          <w:rFonts w:ascii="仿宋" w:eastAsia="仿宋" w:hAnsi="仿宋" w:hint="eastAsia"/>
          <w:sz w:val="30"/>
          <w:szCs w:val="24"/>
        </w:rPr>
        <w:t>烈士陵园服务中心</w:t>
      </w:r>
      <w:r>
        <w:rPr>
          <w:rFonts w:ascii="仿宋" w:eastAsia="仿宋" w:hAnsi="仿宋" w:hint="eastAsia"/>
          <w:sz w:val="30"/>
          <w:szCs w:val="24"/>
        </w:rPr>
        <w:t>财务管理较为严格，建立了《财务管理制度》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并严格按照市财政局和民政局制定的公务接待、差旅费、培训费、会议费等相关管理办法，规范了公务支出管理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sz w:val="30"/>
          <w:szCs w:val="24"/>
        </w:rPr>
        <w:t>严格履行财务审批手续，做到了无计划安排不报账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无领导审批不报账，无经手人签字不报账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不符合财务规定的发票、票据不报账。经费的开支管理及费用报销均严格执行相关制度规定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坚持勤俭节约，确保资金的规范使用与安全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</w:p>
    <w:p w:rsidR="008E35CF" w:rsidRPr="008E35CF" w:rsidRDefault="008E35CF">
      <w:pPr>
        <w:jc w:val="left"/>
        <w:rPr>
          <w:rStyle w:val="a3"/>
          <w:sz w:val="30"/>
          <w:szCs w:val="30"/>
        </w:rPr>
      </w:pPr>
      <w:r w:rsidRPr="008E35CF">
        <w:rPr>
          <w:rStyle w:val="a3"/>
          <w:rFonts w:hint="eastAsia"/>
          <w:sz w:val="30"/>
          <w:szCs w:val="30"/>
        </w:rPr>
        <w:t>五、部门整体支出绩效评价指标分析</w:t>
      </w:r>
    </w:p>
    <w:p w:rsidR="008E35CF" w:rsidRDefault="008E35C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通过认真对照《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201</w:t>
      </w:r>
      <w:r w:rsidR="00926BDD"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9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年沅江市部门整体支出绩效评价指标表》开展自评，我单位在“投入”、“过程”、“产出”、“效果”等方面都执行较好，自评得分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t>98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分。</w:t>
      </w:r>
    </w:p>
    <w:p w:rsidR="00AD68BF" w:rsidRDefault="008E35CF">
      <w:pPr>
        <w:rPr>
          <w:rFonts w:ascii="仿宋" w:eastAsia="仿宋" w:hAnsi="仿宋"/>
          <w:sz w:val="30"/>
          <w:szCs w:val="24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六</w:t>
      </w:r>
      <w:r w:rsidR="00AD68BF"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、存在的问题</w:t>
      </w:r>
      <w:r w:rsidR="00AD68BF"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 w:rsidR="00AD68BF">
        <w:rPr>
          <w:rFonts w:ascii="仿宋" w:eastAsia="仿宋" w:hAnsi="仿宋" w:hint="eastAsia"/>
          <w:sz w:val="30"/>
          <w:szCs w:val="24"/>
        </w:rPr>
        <w:t xml:space="preserve">　</w:t>
      </w:r>
      <w:r w:rsidR="00AD68BF">
        <w:rPr>
          <w:rFonts w:ascii="仿宋" w:eastAsia="仿宋" w:hAnsi="仿宋"/>
          <w:sz w:val="30"/>
          <w:szCs w:val="24"/>
        </w:rPr>
        <w:t xml:space="preserve"> 1</w:t>
      </w:r>
      <w:r w:rsidR="00AD68BF">
        <w:rPr>
          <w:rFonts w:ascii="仿宋" w:eastAsia="仿宋" w:hAnsi="仿宋" w:hint="eastAsia"/>
          <w:sz w:val="30"/>
          <w:szCs w:val="24"/>
        </w:rPr>
        <w:t>、从单位运转情况看：预算标准与部门支出有差距，在执行过程中，有关实际支出超过预算标准。“三公”经费大幅度下降，但仍然有压缩空间。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、从财政职能方面看：财政收支矛盾仍然突出，地方财政风险加大。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color w:val="323232"/>
          <w:sz w:val="30"/>
          <w:szCs w:val="24"/>
          <w:shd w:val="clear" w:color="auto" w:fill="FFFFFF"/>
        </w:rPr>
      </w:pPr>
      <w:r>
        <w:rPr>
          <w:rFonts w:ascii="仿宋" w:eastAsia="仿宋" w:hAnsi="仿宋"/>
          <w:color w:val="323232"/>
          <w:sz w:val="30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、</w:t>
      </w:r>
      <w:r w:rsidR="009C5314"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救助工作面较窄，难以覆盖更多需要救助的对象，救助工作在具体执行中有一定的随意性，救助工作宣传力度有待加强</w:t>
      </w:r>
    </w:p>
    <w:p w:rsidR="009C5314" w:rsidRDefault="009C5314" w:rsidP="00B156D5">
      <w:pPr>
        <w:ind w:firstLineChars="150" w:firstLine="450"/>
        <w:rPr>
          <w:rFonts w:ascii="仿宋" w:eastAsia="仿宋" w:hAnsi="仿宋"/>
          <w:color w:val="323232"/>
          <w:sz w:val="30"/>
          <w:szCs w:val="24"/>
          <w:shd w:val="clear" w:color="auto" w:fill="FFFFFF"/>
        </w:rPr>
      </w:pPr>
    </w:p>
    <w:p w:rsidR="009C5314" w:rsidRDefault="009C5314" w:rsidP="00B156D5">
      <w:pPr>
        <w:ind w:firstLineChars="150" w:firstLine="450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</w:p>
    <w:p w:rsidR="00AD68BF" w:rsidRDefault="008E35CF">
      <w:pPr>
        <w:rPr>
          <w:rFonts w:ascii="仿宋" w:eastAsia="仿宋" w:hAnsi="仿宋"/>
          <w:b/>
          <w:sz w:val="30"/>
          <w:szCs w:val="24"/>
        </w:rPr>
      </w:pPr>
      <w:r w:rsidRPr="008E35CF">
        <w:rPr>
          <w:rStyle w:val="a3"/>
          <w:rFonts w:hint="eastAsia"/>
          <w:color w:val="1B1B1B"/>
          <w:shd w:val="clear" w:color="auto" w:fill="FFFFFF"/>
        </w:rPr>
        <w:t>七</w:t>
      </w:r>
      <w:r w:rsidR="00AD68BF">
        <w:rPr>
          <w:rFonts w:ascii="仿宋" w:eastAsia="仿宋" w:hAnsi="仿宋" w:hint="eastAsia"/>
          <w:sz w:val="30"/>
          <w:szCs w:val="24"/>
        </w:rPr>
        <w:t>、</w:t>
      </w:r>
      <w:r w:rsidR="00AD68BF">
        <w:rPr>
          <w:rFonts w:ascii="仿宋" w:eastAsia="仿宋" w:hAnsi="仿宋" w:hint="eastAsia"/>
          <w:b/>
          <w:sz w:val="30"/>
          <w:szCs w:val="24"/>
        </w:rPr>
        <w:t>改进措施和有关建议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lastRenderedPageBreak/>
        <w:t>1</w:t>
      </w:r>
      <w:r>
        <w:rPr>
          <w:rFonts w:ascii="仿宋" w:eastAsia="仿宋" w:hAnsi="仿宋" w:hint="eastAsia"/>
          <w:sz w:val="30"/>
          <w:szCs w:val="24"/>
        </w:rPr>
        <w:t>、加强管理，严控支出。目前三公经费的预算执行情况较好，但仍需进一步严控三公经费支出，严格三公经费支出的审批流程，进一步细化三公经费的管理。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、科学理财，强化职能作用。积极推进账务决算公开，不断提高理财透明度；严格兑现各项减税降费政策，增强单位发展动力。</w:t>
      </w:r>
    </w:p>
    <w:p w:rsidR="006C559B" w:rsidRDefault="006C559B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6C559B" w:rsidRPr="006C559B" w:rsidRDefault="006C559B" w:rsidP="006C559B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9C5314" w:rsidRPr="009C5314" w:rsidRDefault="009C5314" w:rsidP="009C5314">
      <w:pPr>
        <w:jc w:val="right"/>
        <w:rPr>
          <w:rFonts w:ascii="仿宋" w:eastAsia="仿宋" w:hAnsi="仿宋"/>
          <w:sz w:val="30"/>
          <w:szCs w:val="24"/>
        </w:rPr>
      </w:pPr>
      <w:r w:rsidRPr="009C5314">
        <w:rPr>
          <w:rFonts w:ascii="仿宋" w:eastAsia="仿宋" w:hAnsi="仿宋" w:hint="eastAsia"/>
          <w:sz w:val="30"/>
          <w:szCs w:val="24"/>
        </w:rPr>
        <w:t>沅江市流浪乞讨人员救助站</w:t>
      </w:r>
    </w:p>
    <w:p w:rsidR="006C559B" w:rsidRPr="006C559B" w:rsidRDefault="006C559B" w:rsidP="006C559B">
      <w:pPr>
        <w:jc w:val="right"/>
        <w:rPr>
          <w:rFonts w:ascii="黑体" w:eastAsia="黑体" w:hAnsi="黑体"/>
          <w:sz w:val="28"/>
          <w:szCs w:val="28"/>
        </w:rPr>
      </w:pPr>
    </w:p>
    <w:p w:rsidR="006C559B" w:rsidRPr="006C559B" w:rsidRDefault="006C559B" w:rsidP="006C559B">
      <w:pPr>
        <w:ind w:right="600" w:firstLineChars="150" w:firstLine="420"/>
        <w:jc w:val="right"/>
        <w:rPr>
          <w:rFonts w:ascii="仿宋" w:eastAsia="仿宋" w:hAnsi="仿宋"/>
          <w:sz w:val="28"/>
          <w:szCs w:val="28"/>
        </w:rPr>
      </w:pPr>
      <w:r w:rsidRPr="006C559B">
        <w:rPr>
          <w:rFonts w:ascii="仿宋" w:eastAsia="仿宋" w:hAnsi="仿宋"/>
          <w:sz w:val="28"/>
          <w:szCs w:val="28"/>
        </w:rPr>
        <w:t>20</w:t>
      </w:r>
      <w:r w:rsidR="00926BDD">
        <w:rPr>
          <w:rFonts w:ascii="仿宋" w:eastAsia="仿宋" w:hAnsi="仿宋"/>
          <w:sz w:val="28"/>
          <w:szCs w:val="28"/>
        </w:rPr>
        <w:t>20</w:t>
      </w:r>
      <w:r w:rsidRPr="006C559B">
        <w:rPr>
          <w:rFonts w:ascii="仿宋" w:eastAsia="仿宋" w:hAnsi="仿宋" w:hint="eastAsia"/>
          <w:sz w:val="28"/>
          <w:szCs w:val="28"/>
        </w:rPr>
        <w:t>年</w:t>
      </w:r>
      <w:r w:rsidR="00926BDD">
        <w:rPr>
          <w:rFonts w:ascii="仿宋" w:eastAsia="仿宋" w:hAnsi="仿宋"/>
          <w:sz w:val="28"/>
          <w:szCs w:val="28"/>
        </w:rPr>
        <w:t>8</w:t>
      </w:r>
      <w:r w:rsidRPr="006C559B">
        <w:rPr>
          <w:rFonts w:ascii="仿宋" w:eastAsia="仿宋" w:hAnsi="仿宋" w:hint="eastAsia"/>
          <w:sz w:val="28"/>
          <w:szCs w:val="28"/>
        </w:rPr>
        <w:t>月</w:t>
      </w:r>
      <w:r w:rsidR="00926BDD">
        <w:rPr>
          <w:rFonts w:ascii="仿宋" w:eastAsia="仿宋" w:hAnsi="仿宋"/>
          <w:sz w:val="28"/>
          <w:szCs w:val="28"/>
        </w:rPr>
        <w:t>6</w:t>
      </w:r>
      <w:r w:rsidRPr="006C559B">
        <w:rPr>
          <w:rFonts w:ascii="仿宋" w:eastAsia="仿宋" w:hAnsi="仿宋" w:hint="eastAsia"/>
          <w:sz w:val="28"/>
          <w:szCs w:val="28"/>
        </w:rPr>
        <w:t>日</w:t>
      </w:r>
    </w:p>
    <w:sectPr w:rsidR="006C559B" w:rsidRPr="006C559B" w:rsidSect="008C2AC5">
      <w:pgSz w:w="12240" w:h="15840"/>
      <w:pgMar w:top="1440" w:right="1633" w:bottom="1440" w:left="1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62" w:rsidRDefault="005C3E6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5C3E62" w:rsidRDefault="005C3E6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62" w:rsidRDefault="005C3E6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5C3E62" w:rsidRDefault="005C3E62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DBEF8"/>
    <w:multiLevelType w:val="hybridMultilevel"/>
    <w:tmpl w:val="824DBEF8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B6660AC3"/>
    <w:multiLevelType w:val="singleLevel"/>
    <w:tmpl w:val="B6660A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E806B5B3"/>
    <w:multiLevelType w:val="singleLevel"/>
    <w:tmpl w:val="E806B5B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3">
    <w:nsid w:val="FA7AA2E3"/>
    <w:multiLevelType w:val="hybridMultilevel"/>
    <w:tmpl w:val="FA7AA2E3"/>
    <w:lvl w:ilvl="0" w:tplc="FFFFFFFF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4">
    <w:nsid w:val="FB087A49"/>
    <w:multiLevelType w:val="singleLevel"/>
    <w:tmpl w:val="FB087A4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C"/>
    <w:multiLevelType w:val="singleLevel"/>
    <w:tmpl w:val="D82CA2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6">
    <w:nsid w:val="FFFFFF7D"/>
    <w:multiLevelType w:val="singleLevel"/>
    <w:tmpl w:val="42980C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E"/>
    <w:multiLevelType w:val="singleLevel"/>
    <w:tmpl w:val="A252BA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FFFFFF7F"/>
    <w:multiLevelType w:val="singleLevel"/>
    <w:tmpl w:val="BDC275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9">
    <w:nsid w:val="FFFFFF80"/>
    <w:multiLevelType w:val="singleLevel"/>
    <w:tmpl w:val="2D9297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A208B0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D3CEFC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4D201F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BDF28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0FACBB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D28E0FE"/>
    <w:multiLevelType w:val="singleLevel"/>
    <w:tmpl w:val="0D28E0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6">
    <w:nsid w:val="40A36C16"/>
    <w:multiLevelType w:val="singleLevel"/>
    <w:tmpl w:val="40A36C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7">
    <w:nsid w:val="45FB765D"/>
    <w:multiLevelType w:val="singleLevel"/>
    <w:tmpl w:val="45FB765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CCD724"/>
    <w:multiLevelType w:val="singleLevel"/>
    <w:tmpl w:val="57CCD7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9">
    <w:nsid w:val="58A51A72"/>
    <w:multiLevelType w:val="singleLevel"/>
    <w:tmpl w:val="58A51A7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65C4869A"/>
    <w:multiLevelType w:val="singleLevel"/>
    <w:tmpl w:val="65C486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1">
    <w:nsid w:val="6D69ABE7"/>
    <w:multiLevelType w:val="singleLevel"/>
    <w:tmpl w:val="6D69ABE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2">
    <w:nsid w:val="7FB3113A"/>
    <w:multiLevelType w:val="singleLevel"/>
    <w:tmpl w:val="7FB311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BF"/>
    <w:rsid w:val="000A331A"/>
    <w:rsid w:val="001027C5"/>
    <w:rsid w:val="0012334A"/>
    <w:rsid w:val="003F4129"/>
    <w:rsid w:val="00446305"/>
    <w:rsid w:val="00474819"/>
    <w:rsid w:val="00484FBC"/>
    <w:rsid w:val="004B6A41"/>
    <w:rsid w:val="005C3E62"/>
    <w:rsid w:val="006B1886"/>
    <w:rsid w:val="006C559B"/>
    <w:rsid w:val="00741755"/>
    <w:rsid w:val="007D65C6"/>
    <w:rsid w:val="008C2AC5"/>
    <w:rsid w:val="008D79EF"/>
    <w:rsid w:val="008E35CF"/>
    <w:rsid w:val="00926BDD"/>
    <w:rsid w:val="009C5314"/>
    <w:rsid w:val="00A03569"/>
    <w:rsid w:val="00AA3A12"/>
    <w:rsid w:val="00AD68BF"/>
    <w:rsid w:val="00B156D5"/>
    <w:rsid w:val="00BA3D7D"/>
    <w:rsid w:val="00DF5827"/>
    <w:rsid w:val="00E56910"/>
    <w:rsid w:val="00E6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(Web)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8C2AC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2AC5"/>
    <w:rPr>
      <w:rFonts w:cs="Times New Roman"/>
      <w:b/>
    </w:rPr>
  </w:style>
  <w:style w:type="paragraph" w:styleId="a4">
    <w:name w:val="Normal (Web)"/>
    <w:basedOn w:val="a"/>
    <w:uiPriority w:val="99"/>
    <w:rsid w:val="00A03569"/>
    <w:pPr>
      <w:widowControl w:val="0"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Char"/>
    <w:uiPriority w:val="99"/>
    <w:qFormat/>
    <w:rsid w:val="009C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C531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9C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C53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2019-07-19T01:23:00Z</cp:lastPrinted>
  <dcterms:created xsi:type="dcterms:W3CDTF">2020-12-04T01:35:00Z</dcterms:created>
  <dcterms:modified xsi:type="dcterms:W3CDTF">2020-12-04T01:35:00Z</dcterms:modified>
</cp:coreProperties>
</file>