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300" w:beforeAutospacing="0" w:after="0" w:afterAutospacing="0"/>
        <w:ind w:left="0" w:right="0"/>
        <w:jc w:val="center"/>
        <w:rPr>
          <w:color w:val="0466C7"/>
          <w:sz w:val="42"/>
          <w:szCs w:val="42"/>
        </w:rPr>
      </w:pPr>
      <w:r>
        <w:rPr>
          <w:color w:val="0466C7"/>
          <w:sz w:val="42"/>
          <w:szCs w:val="42"/>
          <w:shd w:val="clear" w:fill="FFFFFF"/>
        </w:rPr>
        <w:t>市博物馆2019年度部门决算公开</w:t>
      </w:r>
    </w:p>
    <w:p>
      <w:pPr>
        <w:pStyle w:val="3"/>
        <w:keepNext w:val="0"/>
        <w:keepLines w:val="0"/>
        <w:widowControl/>
        <w:suppressLineNumbers w:val="0"/>
        <w:spacing w:before="300" w:beforeAutospacing="0" w:after="0" w:afterAutospacing="0" w:line="33" w:lineRule="atLeast"/>
        <w:ind w:left="0" w:right="0" w:firstLine="420"/>
        <w:jc w:val="both"/>
      </w:pPr>
      <w:bookmarkStart w:id="0" w:name="_GoBack"/>
      <w:bookmarkEnd w:id="0"/>
      <w:r>
        <w:rPr>
          <w:rFonts w:ascii="微软雅黑" w:hAnsi="微软雅黑" w:eastAsia="微软雅黑" w:cs="微软雅黑"/>
          <w:color w:val="333333"/>
          <w:sz w:val="24"/>
          <w:szCs w:val="24"/>
          <w:shd w:val="clear" w:fill="FFFFFF"/>
        </w:rPr>
        <w:t>目录</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第一部分沅江市洞庭湖博物馆概况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一、主要职能</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二、机构设置</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三、部门决算单位构成</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第二部分 沅江市洞庭湖博物馆2019 年度部门决算表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一、收入支出决算总表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二、收入决算表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三、支出决算表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四、财政拨款收入支出决算总表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五、一般公共预算财政拨款支出决算表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六、一般公共预算财政拨款基本支出决算表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七、一般公共预算财政拨款“三公”经费支出决算表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八、政府性基金预算财政拨款收入支出决算表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第三部分沅江市洞庭湖博物馆2019年度部门决算情况说明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一、收入支出决算总体情况说明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二、收入决算情况说明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四、财政拨款收入支出决算总体情况说明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五、一般公共预算财政拨款支出决算情况说明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六、一般公共预算财政拨款基本支出决算情况说明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七、政府性基金预算财政拨款支出决算情况说明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八、一般公共预算财政拨款“三公”经费支出决算情况说明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九、预算绩效情况说明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十、其他重要事项情况说明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第四部分名词解释</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第五部分附件</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第一部分沅江市洞庭湖博物馆概况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一、主要职能</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1、宣传贯彻执行《中华人民共和国文物保护法》及有关法律、法规，增强全民族全社会的文物保护意识。</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2、负责对具有历 史、艺术、科学价值的可移动文物的征集、收藏、保管、陈列、展示，充实博物馆展品的内容，提高展品的内涵。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3、对馆藏文物按有关规定进行妥善保管。采取有效措施，防火、防盗，确保文物安全。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4、对全县范围内的历史、民俗文物进行普查、征集和保护。</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5、举办文物展出，发挥宣传窗口作用，为县经济发展服务，推动我市旅游业发展。</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6、对各个时期遗址、历史建筑物进行保护，防止文物非法流通，打击文物犯罪活动，创造健康有序的文物保护环境。</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二、机构设置</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沅江市洞庭湖博物馆为沅江市文化旅游广电体育局所属正股级公益类事业单位，核定全额拨款事业编制13名，纳入部门预算编制17人，其中：实有在职人员11人（参公人员7人，公勤人员3人，退伍安置1人），退休人员6人。 内设办公室、财务室、资料室、考古队、典藏室等。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三、部门决算单位构成</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沅江市洞庭湖博物馆为沅江市文旅广体局下属二级机构，内设股室5个，决算单位1个。</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第二部分沅江市洞庭湖博物馆2019年度部门决算表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表1：收入支出决算总表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表2：收入决算表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表3：支出决算表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表4：财政拨款收入支出决算总表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表5：一般公共预算财政拨款支出决算表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表6：一般公共预算财政拨款基本支出决算表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表7：一般公共预算财政拨款“三公”经费支出决算表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表8：政府性基金预算财政拨款收入支出决算</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表8无数据，本单位没有政府性基金收入，也没有政府性基金安排的支出，故本表无数据。</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第三部分沅江市2019年度部门决算情况说明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一、关于沅江市洞庭湖博物馆 2019年度收入支出决算总体情况说明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沅江市洞庭湖博物馆2019年度收入总计174.8万元，比上年同期增加13万元，增长8%；支出总计191.1万元，比上年同期增加42.4万元，增长29%；。主要原因：2019年整体调资、绩效奖金发放、免费开放专款增加。</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二、关于沅江市洞庭湖博物馆 2019 年度收入决算情况说明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2019年度收入合计174.8万元，其中：财政拨款收入172.8万元，占 99%；上级补助收入2 万元，占 1%；。</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三、关于沅江市洞庭湖博物馆 2019年度支出决算情况说明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2019年度支出合计191.1万元，其中：基本支出118.6万元，占 62%；项目支出72.5 万元，占38%。</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四、关于沅江市洞庭湖博物馆 2019年度财政拨款收入支出决算总体情况说明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2019年度财政拨款收入总计172.8万元，比上年同期增加16.2万元，增长10%；财政拨款支出总计189.1万元，比上年同期增加45.5万元，增长32%。主要原因：2019年整体调资、绩效奖金发放、免费开放专款增加。</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五、关于沅江市洞庭湖博物馆 2019 年度一般公共预算财政拨款收入支出决算情况说明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（一）一般公共预算财政拨款收入支出决算总体情况。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年度一般公共预算财政拨款收入总计172.8万元，比上年同期增加16.2万元，增长10%；一般公共预算财政拨款支出总计189.1万元，比上年同期增加45.5万元，增长32%。主要原因：2019年整体调资、绩效奖金发放、免费开放专款增加。</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（二）一般公共预算财政拨款支出决算构成情况。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一般公共预算财政拨款基本支出 116.6万元，占 62%；项目支出72.5万元，占38%。</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（三）一般公共预算财政拨款支出决算具体情况。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1.一般公共预算财政财政拨款支出 182万元，主要用于文化旅游体育与传媒支出。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 一般公共预算财政财政拨款支出 7.2万元，主要用于住房保障支出。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六、关于沅江市洞庭湖博物馆 2019 年度一般公共预算财政拨款基本支出决算情况说明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2019年度一般公共预算财政拨款基本支出116.6万元，其中人员经费支出100.9万元，主要包括：基本工资、津贴补贴、伙食补助费、绩效工资 、机关事业单位基本养老保险缴费、职工基本医疗保险缴费、其他社会保障缴费、医疗费、住房公积金；公用经费支出 15.7万元。主要包括：办公费、印刷费办公费、电费、邮电费、差旅费、、维修（护）费、工会费、其他交通费用、其他商品和服务支出、办公设备购置。</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七、关于沅江市洞庭湖博物馆 2019 年度政府性基金预算财政拨款支出决算情况说明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2019年本单位没有使用政府性基金预算拨款安排的支出。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八、关于沅江市洞庭湖博物馆 2019 年度一般公共预算财政拨款“三公”经费支出决算情况说明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（一）“三公”经费财政拨款支出决算总体情况说明。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 年度“三公”经费财政拨款支出预算为1万元，支出决算为0.5万元，完成预算的50%，其中公务接待费支出决算为 0.5万元，完成预算的50%。2019年度“三公”经费支出决算数小于预算数的主要原因：认真贯彻落实中央“八项规定”精神和厉行节约要求，从严控制“三公”经费开支，全年实际支出比预算有所节约。</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（二）“三公”经费财政拨款支出决算具体情况说明。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 年度“三公”经费财政拨款支出决算为0.5万元，其中：公务接待费支出决算为0.5万元，占100%。2019 年度“三公”经费支出决算数小于上年决算数的主要原因：我单位按照中央、省委、省政府等要求，厉行节约，继续严控“三公”经费。</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公务接待情况说明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公务接待支出0.5万元，国内公务接待12批次，接待73人。接待支出主要用于免费开放公务接待。</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九、关于 2019 年度预算绩效情况说明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（一）绩效管理工作开展情况 。</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按照《沅江市财政局关于做好2019年度预算绩效自评工作的通知》（沅财绩〔2019〕2号）等有关文件精神，我单位对2019年度专项资金绩效开展了自评。</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（二）部门决算中项目绩效自评结果 。</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2019年我单位专项预算资金，在原预算口径内，资金使用效率高，管理严谨，财务手续健全。最大限度的起到了保障业务开展需要.</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本单位2019年度专项支出资金管理和分配都比较合理，资金拨付及时，资金使用合规，无截留、挪用、闲置现象，财务核算规范、资料齐全。对全市文博工作而言，规范了全市文博工作秩序，为全市的经济增长做出了一定的贡献，取得了良好的社会效益。</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（三）以部门为主体开展的重点绩效评价 结果</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我单位财务管理较为严格，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干职工而言，工资和福利得到了及时发放，生活有了保障，维护了社会的稳定。对项目资金的实施、资金投向及调度安排、固定资产购置及交付使用进行跟踪管理，确保项目资金专款专用。对于批量及单价在规定金额以上的物品采购，均实行政府采购制度。年度计划、重大支出等重大事项均经过班子会议集体讨论并报主管单位决定。</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十、其他重要事项的情况说明</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（一）预决算收支增减变化情况。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2019年度财政拨款收、支总计214.1万元，与2018年相比，财政拨款收、支总计各增加29.3万元，增长16%。主要原因是2019年整体调资、绩效奖金发放、免费开放专款增加。</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（二）机关运行经费支出情况。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本部门2019年度机关运行经费支出15.7万元，较上年增加0.6万元，增加4%，主要原因是：增加了工会经费与办公设备购置。</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（三）政府采购支出情况。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本部门201９年度政府采购14.3万元，其中，政府采购货物支出6.9万元，政府采购工程支出7.4万元，政府采购服务支出0万元</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（四）国有资产占用情况。</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截至2019年12月31日，本部门无车辆，无单价值50万元以上通用设备，无单价100万正以上专用设备。</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第四部分名词解释</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一、财政拨款收入：指中央财政当年拨付的资金。</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三、其他收入：指除上述“财政拨款收入” 、 “事业收入” 、“经营收入”等以外的收入。主要是按规定动用的售房收入、存款利息收入等。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四、年初结转和结余：指以前年度尚未完成、结转到本年按有关规定继续使用的资金。</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王、结余分配：指事业单位按规定提取的职工福利基金、事业基金和缴纳的所得税，以及建设单位按规定应交回的基本建设竣工项目结余资金。</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六、年末结转和结余：指本年度或以前年度预算安排、因客观条件发生变化无法按原计划实施，需要延迟到以后年度按有关规定继续使用的资金。</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七、基本支出：指为保障机构正常运转、完成日常工</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作任务而发生的人员支出和公用支出。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八、项目支出：指在基本支出之外为完成特定行政任务和事业发展目标所发生的支出。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九、“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十一、文化体育与传媒支出（类）：是指用于文化、文物、体育、新闻出版广播影视等方面的支出，包括保障机构正常运转、完成日常和特定的工作任务或事业发展目标的支出。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十二、住房保障支出（类）：是指用于住房方面的支出，包括保障机构正常运转、完成日常和特定的工作任务或事业发展目标的支出。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十三、工资福利支出：反映单位开支的在职职工和编制外长期聘用人员的各类劳动报酬，以及为上述人员缴纳的各项社会保险费等。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四、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十五、津贴补贴：反映经国家批准建立的机关事业单位艰苦边远地区津贴、机关工作人员地区附加津贴、机关工作人员岗位津贴、事业单位工作人员特殊岗位津贴补贴等。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十六、伙食补助费：反映单位发给职工的伙食补助费，如误餐补助等。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十七、机关事业单位基本养老保险缴费：反映机关事业单位缴纳的基本养老保险费。由单位代扣的工作人员基本养老保险缴费，不在此科目反映。</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十八、职工基本医疗保险缴费：反映单位为职工缴纳的基本医疗保险费。</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十九、其他社会保障缴费：反映单位为职工缴纳的基本医疗、失业、工伤、生育等社会保险费，残疾人就业保障金，军队（含武警）为军人缴纳的伤亡、退役医疗等社会保险费。</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二十、住房公积金：反映行政事业单位按人力资源和社会保障部、财政部规定的基本工资和津贴补贴以及规定比例为职工缴纳的住房公积金。</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二十一、商品和服务支出：反映单位购买商品和服务的支出（不包括用于购置固定资产的支出、战略性和应急储备支出）。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二十二、办公费：反映单位购买按财务会计制度规定不符合固定资产确认标准的日常办公用品、书报杂志等支出。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二十三、手续费：反映单位支付的各类手续费支出。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二十四、水费：反映单位支付的水费、污水处理费等支出。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二十五、电费：反映单位的电费支出。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二十六、邮电费：反映单位开支的信函、包裹、货物等物品的邮寄费及电话费、电报费、传真费、网络通讯费等。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二十七、公务接待费：反映单位按规定开支的各类公务接待（含外宾接待）费用。</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二十八、劳务费：反映支付给单位和个人的劳务费用，如临时聘用人员、钟点工工资，稿费、翻译费，评审费等。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二十九、工会经费：反映单位按规定提取的工会经费。</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三十、其他交通费用：反映单位除公务用车运行维护费以外的其他交通费用。如公务交通补贴，租车费用、出租车费用，飞机、船舶等的燃料费、维修费、保险费等。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三十一、其他商品和服务支出：反映上述科目未包括的日常公用支出。如行政赔偿费和诉讼费、国内组织的会员费、来访费、广告宣传、其他劳务费及离休人员特需费、公用经费等。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三十二、对个人和家庭的补助：反映政府用于对个人和家庭的补助支出。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十三、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三十四、奖励金：反映政府各部门的奖励支出，如对个体私营经济的奖励、计划生育目标责任奖励、独生子女父母奖励等。</w:t>
      </w:r>
    </w:p>
    <w:p>
      <w:pPr>
        <w:pStyle w:val="3"/>
        <w:keepNext w:val="0"/>
        <w:keepLines w:val="0"/>
        <w:widowControl/>
        <w:suppressLineNumbers w:val="0"/>
        <w:spacing w:before="300" w:beforeAutospacing="0" w:after="0" w:afterAutospacing="0" w:line="33" w:lineRule="atLeast"/>
        <w:ind w:left="0" w:right="0" w:firstLine="420"/>
        <w:jc w:val="both"/>
      </w:pPr>
      <w:r>
        <w:rPr>
          <w:rFonts w:hint="eastAsia" w:ascii="微软雅黑" w:hAnsi="微软雅黑" w:eastAsia="微软雅黑" w:cs="微软雅黑"/>
          <w:color w:val="333333"/>
          <w:sz w:val="24"/>
          <w:szCs w:val="24"/>
          <w:shd w:val="clear" w:fill="FFFFFF"/>
        </w:rPr>
        <w:t>三十五、绩效工资：反映事业单位工作人员的绩效工资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1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sz w:val="24"/>
      <w:szCs w:val="24"/>
      <w:bdr w:val="none" w:color="auto" w:sz="0" w:space="0"/>
    </w:rPr>
  </w:style>
  <w:style w:type="character" w:styleId="7">
    <w:name w:val="FollowedHyperlink"/>
    <w:basedOn w:val="5"/>
    <w:uiPriority w:val="0"/>
    <w:rPr>
      <w:color w:val="333333"/>
      <w:u w:val="none"/>
    </w:rPr>
  </w:style>
  <w:style w:type="character" w:styleId="8">
    <w:name w:val="Emphasis"/>
    <w:basedOn w:val="5"/>
    <w:qFormat/>
    <w:uiPriority w:val="0"/>
    <w:rPr>
      <w:sz w:val="24"/>
      <w:szCs w:val="24"/>
      <w:bdr w:val="none" w:color="auto" w:sz="0" w:space="0"/>
    </w:rPr>
  </w:style>
  <w:style w:type="character" w:styleId="9">
    <w:name w:val="Hyperlink"/>
    <w:basedOn w:val="5"/>
    <w:uiPriority w:val="0"/>
    <w:rPr>
      <w:color w:val="333333"/>
      <w:u w:val="none"/>
    </w:rPr>
  </w:style>
  <w:style w:type="character" w:customStyle="1" w:styleId="10">
    <w:name w:val="before1"/>
    <w:basedOn w:val="5"/>
    <w:uiPriority w:val="0"/>
    <w:rPr>
      <w:bdr w:val="single" w:color="0466C7" w:sz="36" w:space="0"/>
    </w:rPr>
  </w:style>
  <w:style w:type="character" w:customStyle="1" w:styleId="11">
    <w:name w:val="bsharetex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2020-09-09T19:26:12Z</dcterms:created>
  <dc:creator>Administrator</dc:creator>
  <cp:lastModifiedBy>文虚空圣</cp:lastModifiedBy>
  <dcterms:modified xsi:type="dcterms:W3CDTF">2020-09-09T19:26:38Z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